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fontTable.xml" ContentType="application/vnd.openxmlformats-officedocument.wordprocessingml.fontTable+xml"/>
  <Override PartName="/word/_rels/document.xml.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ind w:right="-981"/>
        <w:jc w:val="right"/>
        <w:rPr>
          <w:rFonts w:ascii="Times New Roman" w:hAnsi="Times New Roman" w:eastAsia="Times New Roman" w:cs="Times New Roman"/>
          <w:b/>
          <w:sz w:val="36"/>
          <w:szCs w:val="36"/>
          <w:lang w:eastAsia="zh-CN"/>
        </w:rPr>
      </w:pPr>
      <w:r>
        <w:rPr>
          <w:rFonts w:eastAsia="Times New Roman" w:cs="Times New Roman" w:ascii="Times New Roman" w:hAnsi="Times New Roman"/>
          <w:b/>
          <w:sz w:val="28"/>
          <w:szCs w:val="28"/>
          <w:lang w:eastAsia="zh-CN"/>
        </w:rPr>
        <w:t xml:space="preserve">                                      </w:t>
      </w:r>
    </w:p>
    <w:p>
      <w:pPr>
        <w:pStyle w:val="Normal"/>
        <w:spacing w:lineRule="auto" w:line="240" w:before="0" w:after="0"/>
        <w:jc w:val="center"/>
        <w:rPr>
          <w:rFonts w:ascii="Times New Roman" w:hAnsi="Times New Roman" w:eastAsia="Times New Roman" w:cs="Times New Roman"/>
          <w:b/>
          <w:bCs/>
          <w:sz w:val="34"/>
          <w:szCs w:val="34"/>
          <w:lang w:eastAsia="ru-RU"/>
        </w:rPr>
      </w:pPr>
      <w:r>
        <w:rPr>
          <w:rFonts w:eastAsia="Times New Roman" w:cs="Times New Roman" w:ascii="Times New Roman" w:hAnsi="Times New Roman"/>
          <w:b/>
          <w:bCs/>
          <w:sz w:val="34"/>
          <w:szCs w:val="34"/>
          <w:lang w:eastAsia="ru-RU"/>
        </w:rPr>
        <w:t>КЕМЕРОВСКАЯ ОБЛАСТЬ - КУЗБАСС</w:t>
      </w:r>
    </w:p>
    <w:p>
      <w:pPr>
        <w:pStyle w:val="Normal"/>
        <w:spacing w:lineRule="auto" w:line="240" w:before="0" w:after="0"/>
        <w:jc w:val="center"/>
        <w:rPr>
          <w:rFonts w:ascii="Times New Roman" w:hAnsi="Times New Roman" w:eastAsia="Times New Roman" w:cs="Times New Roman"/>
          <w:b/>
          <w:sz w:val="32"/>
          <w:szCs w:val="24"/>
          <w:lang w:eastAsia="ru-RU"/>
        </w:rPr>
      </w:pPr>
      <w:r>
        <w:rPr>
          <w:rFonts w:eastAsia="Times New Roman" w:cs="Times New Roman" w:ascii="Times New Roman" w:hAnsi="Times New Roman"/>
          <w:b/>
          <w:sz w:val="32"/>
          <w:szCs w:val="24"/>
          <w:lang w:eastAsia="ru-RU"/>
        </w:rPr>
      </w:r>
    </w:p>
    <w:p>
      <w:pPr>
        <w:pStyle w:val="Normal"/>
        <w:spacing w:lineRule="auto" w:line="240" w:before="0" w:after="0"/>
        <w:jc w:val="center"/>
        <w:rPr>
          <w:rFonts w:ascii="Times New Roman" w:hAnsi="Times New Roman" w:eastAsia="Times New Roman" w:cs="Times New Roman"/>
          <w:b/>
          <w:sz w:val="34"/>
          <w:szCs w:val="34"/>
          <w:lang w:eastAsia="ru-RU"/>
        </w:rPr>
      </w:pPr>
      <w:r>
        <w:rPr>
          <w:rFonts w:eastAsia="Times New Roman" w:cs="Times New Roman" w:ascii="Times New Roman" w:hAnsi="Times New Roman"/>
          <w:b/>
          <w:sz w:val="34"/>
          <w:szCs w:val="34"/>
          <w:lang w:eastAsia="ru-RU"/>
        </w:rPr>
        <w:t>СОВЕТ НАРОДНЫХ ДЕПУТАТОВ</w:t>
      </w:r>
    </w:p>
    <w:p>
      <w:pPr>
        <w:pStyle w:val="Normal"/>
        <w:spacing w:lineRule="auto" w:line="240" w:before="0" w:after="0"/>
        <w:jc w:val="center"/>
        <w:rPr>
          <w:rFonts w:ascii="Times New Roman" w:hAnsi="Times New Roman" w:eastAsia="Times New Roman" w:cs="Times New Roman"/>
          <w:b/>
          <w:sz w:val="34"/>
          <w:szCs w:val="34"/>
          <w:lang w:eastAsia="ru-RU"/>
        </w:rPr>
      </w:pPr>
      <w:r>
        <w:rPr>
          <w:rFonts w:eastAsia="Times New Roman" w:cs="Times New Roman" w:ascii="Times New Roman" w:hAnsi="Times New Roman"/>
          <w:b/>
          <w:sz w:val="34"/>
          <w:szCs w:val="34"/>
          <w:lang w:eastAsia="ru-RU"/>
        </w:rPr>
        <w:t>ПРОКОПЬЕВСКОГО МУНИЦИПАЛЬНОГО ОКРУГА</w:t>
      </w:r>
    </w:p>
    <w:p>
      <w:pPr>
        <w:pStyle w:val="Normal"/>
        <w:spacing w:lineRule="auto" w:line="240" w:before="0" w:after="0"/>
        <w:rPr>
          <w:rFonts w:ascii="Times New Roman" w:hAnsi="Times New Roman" w:eastAsia="Times New Roman" w:cs="Times New Roman"/>
          <w:b/>
          <w:sz w:val="32"/>
          <w:szCs w:val="24"/>
          <w:lang w:eastAsia="ru-RU"/>
        </w:rPr>
      </w:pPr>
      <w:r>
        <w:rPr>
          <w:rFonts w:eastAsia="Times New Roman" w:cs="Times New Roman" w:ascii="Times New Roman" w:hAnsi="Times New Roman"/>
          <w:b/>
          <w:sz w:val="32"/>
          <w:szCs w:val="24"/>
          <w:lang w:eastAsia="ru-RU"/>
        </w:rPr>
      </w:r>
    </w:p>
    <w:p>
      <w:pPr>
        <w:pStyle w:val="Normal"/>
        <w:keepNext w:val="true"/>
        <w:numPr>
          <w:ilvl w:val="0"/>
          <w:numId w:val="0"/>
        </w:numPr>
        <w:tabs>
          <w:tab w:val="clear" w:pos="708"/>
          <w:tab w:val="left" w:pos="-2700" w:leader="none"/>
        </w:tabs>
        <w:spacing w:lineRule="auto" w:line="240" w:before="0" w:after="0"/>
        <w:ind w:hanging="0" w:left="0"/>
        <w:jc w:val="center"/>
        <w:outlineLvl w:val="6"/>
        <w:rPr>
          <w:rFonts w:ascii="Times New Roman" w:hAnsi="Times New Roman" w:eastAsia="Times New Roman" w:cs="Times New Roman"/>
          <w:b/>
          <w:sz w:val="40"/>
          <w:szCs w:val="40"/>
          <w:lang w:eastAsia="ru-RU"/>
        </w:rPr>
      </w:pPr>
      <w:r>
        <w:rPr>
          <w:rFonts w:eastAsia="Times New Roman" w:cs="Times New Roman" w:ascii="Times New Roman" w:hAnsi="Times New Roman"/>
          <w:b/>
          <w:sz w:val="34"/>
          <w:szCs w:val="34"/>
          <w:lang w:eastAsia="ru-RU"/>
        </w:rPr>
        <w:t>Проект Р Е Ш Е Н И Е</w:t>
      </w:r>
    </w:p>
    <w:p>
      <w:pPr>
        <w:pStyle w:val="Normal"/>
        <w:spacing w:lineRule="auto" w:line="240" w:before="0" w:after="0"/>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keepNext w:val="true"/>
        <w:numPr>
          <w:ilvl w:val="0"/>
          <w:numId w:val="0"/>
        </w:numPr>
        <w:spacing w:lineRule="auto" w:line="240" w:before="0" w:after="0"/>
        <w:ind w:hanging="0" w:left="0"/>
        <w:jc w:val="center"/>
        <w:outlineLvl w:val="1"/>
        <w:rPr>
          <w:rFonts w:ascii="Times New Roman" w:hAnsi="Times New Roman" w:eastAsia="Times New Roman" w:cs="Times New Roman"/>
          <w:bCs/>
          <w:sz w:val="28"/>
          <w:szCs w:val="24"/>
          <w:lang w:eastAsia="ru-RU"/>
        </w:rPr>
      </w:pPr>
      <w:r>
        <w:rPr>
          <w:rFonts w:eastAsia="Times New Roman" w:cs="Times New Roman" w:ascii="Times New Roman" w:hAnsi="Times New Roman"/>
          <w:bCs/>
          <w:sz w:val="28"/>
          <w:szCs w:val="24"/>
          <w:lang w:eastAsia="ru-RU"/>
        </w:rPr>
        <w:t xml:space="preserve">От                       года  №  </w:t>
      </w:r>
    </w:p>
    <w:p>
      <w:pPr>
        <w:pStyle w:val="Normal"/>
        <w:spacing w:lineRule="auto" w:line="240" w:before="0" w:after="0"/>
        <w:jc w:val="center"/>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p>
      <w:pPr>
        <w:pStyle w:val="Normal"/>
        <w:spacing w:lineRule="auto" w:line="240" w:before="0" w:after="0"/>
        <w:jc w:val="center"/>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t>г. Прокопьевск</w:t>
      </w:r>
    </w:p>
    <w:p>
      <w:pPr>
        <w:pStyle w:val="Normal"/>
        <w:keepNext w:val="true"/>
        <w:numPr>
          <w:ilvl w:val="0"/>
          <w:numId w:val="0"/>
        </w:numPr>
        <w:spacing w:lineRule="auto" w:line="240" w:before="0" w:after="0"/>
        <w:ind w:hanging="0" w:left="0"/>
        <w:outlineLvl w:val="1"/>
        <w:rPr>
          <w:rFonts w:ascii="Times New Roman" w:hAnsi="Times New Roman" w:eastAsia="Times New Roman" w:cs="Times New Roman"/>
          <w:bCs/>
          <w:sz w:val="28"/>
          <w:szCs w:val="24"/>
          <w:lang w:eastAsia="ru-RU"/>
        </w:rPr>
      </w:pPr>
      <w:r>
        <w:rPr>
          <w:rFonts w:eastAsia="Times New Roman" w:cs="Times New Roman" w:ascii="Times New Roman" w:hAnsi="Times New Roman"/>
          <w:bCs/>
          <w:sz w:val="28"/>
          <w:szCs w:val="24"/>
          <w:lang w:eastAsia="ru-RU"/>
        </w:rPr>
      </w:r>
    </w:p>
    <w:p>
      <w:pPr>
        <w:pStyle w:val="Normal"/>
        <w:spacing w:lineRule="auto" w:line="240" w:before="0" w:after="0"/>
        <w:ind w:firstLine="709"/>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ind w:firstLine="709"/>
        <w:jc w:val="center"/>
        <w:rPr>
          <w:rFonts w:ascii="Times New Roman" w:hAnsi="Times New Roman" w:cs="Times New Roman"/>
          <w:b/>
          <w:sz w:val="28"/>
          <w:szCs w:val="28"/>
        </w:rPr>
      </w:pPr>
      <w:r>
        <w:rPr>
          <w:rFonts w:cs="Times New Roman" w:ascii="Times New Roman" w:hAnsi="Times New Roman"/>
          <w:b/>
          <w:sz w:val="28"/>
          <w:szCs w:val="28"/>
        </w:rPr>
        <w:t>Об исполнении бюджета Прокопьевского муниципального округа</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b/>
          <w:sz w:val="28"/>
          <w:szCs w:val="28"/>
        </w:rPr>
        <w:t>за 2025 год</w:t>
      </w:r>
    </w:p>
    <w:p>
      <w:pPr>
        <w:pStyle w:val="Normal"/>
        <w:spacing w:lineRule="auto" w:line="240" w:before="0" w:after="0"/>
        <w:ind w:firstLine="709"/>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 xml:space="preserve">Рассмотрев представленный главой Прокопьевского муниципального округа проект решения «Об исполнении бюджета Прокопьевского муниципального округа за 2025 год» и руководствуясь ст. 264.5, 264.6 Бюджетного Кодекса Российской Федерации, Уставом муниципального образования Прокопьевский муниципальный округ Кемеровской области – Кузбасса, </w:t>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r>
    </w:p>
    <w:p>
      <w:pPr>
        <w:pStyle w:val="Normal"/>
        <w:spacing w:lineRule="auto" w:line="240" w:before="0" w:after="0"/>
        <w:ind w:firstLine="709"/>
        <w:jc w:val="both"/>
        <w:rPr>
          <w:rFonts w:ascii="Times New Roman" w:hAnsi="Times New Roman" w:cs="Times New Roman"/>
          <w:sz w:val="28"/>
        </w:rPr>
      </w:pPr>
      <w:r>
        <w:rPr>
          <w:rFonts w:cs="Times New Roman" w:ascii="Times New Roman" w:hAnsi="Times New Roman"/>
          <w:sz w:val="28"/>
        </w:rPr>
        <w:t>Совет народных депутатов Прокопьевского муниципального округа решил:</w:t>
      </w:r>
    </w:p>
    <w:p>
      <w:pPr>
        <w:pStyle w:val="Normal"/>
        <w:tabs>
          <w:tab w:val="clear" w:pos="708"/>
          <w:tab w:val="left" w:pos="851" w:leader="none"/>
          <w:tab w:val="left" w:pos="993" w:leader="none"/>
        </w:tabs>
        <w:spacing w:lineRule="auto" w:line="240" w:before="0" w:after="0"/>
        <w:ind w:firstLine="540"/>
        <w:jc w:val="both"/>
        <w:rPr>
          <w:rFonts w:ascii="Times New Roman" w:hAnsi="Times New Roman" w:eastAsia="Times New Roman" w:cs="Times New Roman"/>
          <w:b/>
          <w:sz w:val="28"/>
          <w:szCs w:val="24"/>
          <w:lang w:eastAsia="ru-RU"/>
        </w:rPr>
      </w:pPr>
      <w:r>
        <w:rPr>
          <w:rFonts w:eastAsia="Times New Roman" w:cs="Times New Roman" w:ascii="Times New Roman" w:hAnsi="Times New Roman"/>
          <w:b/>
          <w:sz w:val="28"/>
          <w:szCs w:val="24"/>
          <w:lang w:eastAsia="ru-RU"/>
        </w:rPr>
      </w:r>
    </w:p>
    <w:p>
      <w:pPr>
        <w:pStyle w:val="Normal"/>
        <w:numPr>
          <w:ilvl w:val="0"/>
          <w:numId w:val="1"/>
        </w:numPr>
        <w:tabs>
          <w:tab w:val="clear" w:pos="708"/>
          <w:tab w:val="left" w:pos="0" w:leader="none"/>
          <w:tab w:val="left" w:pos="851" w:leader="none"/>
          <w:tab w:val="left" w:pos="993" w:leader="none"/>
        </w:tabs>
        <w:spacing w:lineRule="auto" w:line="240" w:before="0" w:after="0"/>
        <w:ind w:firstLine="709" w:left="0"/>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t>Утвердить отчет об исполнении бюджета Прокопьевского муниципального округа за 2025 год с общим объемом доходов бюджета в сумме 4 627 913 081,73 рублей, общим объемом расходов бюджета в сумме   4 620 354 518,09 рублей,  профицит бюджета в сумме  7 558 563,64 рублей.</w:t>
      </w:r>
    </w:p>
    <w:p>
      <w:pPr>
        <w:pStyle w:val="Normal"/>
        <w:numPr>
          <w:ilvl w:val="0"/>
          <w:numId w:val="1"/>
        </w:numPr>
        <w:tabs>
          <w:tab w:val="clear" w:pos="708"/>
          <w:tab w:val="left" w:pos="0" w:leader="none"/>
          <w:tab w:val="left" w:pos="851" w:leader="none"/>
          <w:tab w:val="left" w:pos="993" w:leader="none"/>
        </w:tabs>
        <w:spacing w:lineRule="auto" w:line="240" w:before="0" w:after="0"/>
        <w:ind w:firstLine="709" w:left="0"/>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t>Утвердить показатели доходов бюджета Прокопьевского муниципального округа за 2025 год по кодам классификации доходов бюджетов согласно приложению № 1 к настоящему решению.</w:t>
      </w:r>
    </w:p>
    <w:p>
      <w:pPr>
        <w:pStyle w:val="Normal"/>
        <w:numPr>
          <w:ilvl w:val="0"/>
          <w:numId w:val="1"/>
        </w:numPr>
        <w:tabs>
          <w:tab w:val="clear" w:pos="708"/>
          <w:tab w:val="left" w:pos="0" w:leader="none"/>
          <w:tab w:val="left" w:pos="851" w:leader="none"/>
          <w:tab w:val="left" w:pos="993" w:leader="none"/>
        </w:tabs>
        <w:spacing w:lineRule="auto" w:line="240" w:before="0" w:after="0"/>
        <w:ind w:firstLine="709" w:left="0"/>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t>Утвердить показатели расходов бюджета Прокопьевского муниципального округа за 2025 год по ведомственной структуре расходов бюджета округа согласно приложению № 2 к настоящему решению.</w:t>
      </w:r>
    </w:p>
    <w:p>
      <w:pPr>
        <w:pStyle w:val="Normal"/>
        <w:numPr>
          <w:ilvl w:val="0"/>
          <w:numId w:val="1"/>
        </w:numPr>
        <w:tabs>
          <w:tab w:val="clear" w:pos="708"/>
          <w:tab w:val="left" w:pos="0" w:leader="none"/>
          <w:tab w:val="left" w:pos="851" w:leader="none"/>
          <w:tab w:val="left" w:pos="993" w:leader="none"/>
        </w:tabs>
        <w:spacing w:lineRule="auto" w:line="240" w:before="0" w:after="0"/>
        <w:ind w:firstLine="709" w:left="0"/>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t>Утвердить показатели расходов бюджета Прокопьевского муниципального округа за 2025 год по разделам и подразделам классификации расходов бюджетов согласно приложению № 3 к настоящему решению.</w:t>
      </w:r>
    </w:p>
    <w:p>
      <w:pPr>
        <w:pStyle w:val="Normal"/>
        <w:numPr>
          <w:ilvl w:val="0"/>
          <w:numId w:val="1"/>
        </w:numPr>
        <w:tabs>
          <w:tab w:val="clear" w:pos="708"/>
          <w:tab w:val="left" w:pos="0" w:leader="none"/>
          <w:tab w:val="left" w:pos="851" w:leader="none"/>
          <w:tab w:val="left" w:pos="993" w:leader="none"/>
        </w:tabs>
        <w:spacing w:lineRule="auto" w:line="240" w:before="0" w:after="0"/>
        <w:ind w:firstLine="709" w:left="0"/>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t>Утвердить показатели источников финансирования дефицита бюджета Прокопьевского муниципального округа за 2025 год по кодам классификации источников финансирования дефицитов бюджетов согласно приложению № 4 к настоящему решению.</w:t>
      </w:r>
    </w:p>
    <w:p>
      <w:pPr>
        <w:pStyle w:val="Normal"/>
        <w:numPr>
          <w:ilvl w:val="0"/>
          <w:numId w:val="1"/>
        </w:numPr>
        <w:tabs>
          <w:tab w:val="clear" w:pos="708"/>
          <w:tab w:val="left" w:pos="0" w:leader="none"/>
          <w:tab w:val="left" w:pos="851" w:leader="none"/>
          <w:tab w:val="left" w:pos="993" w:leader="none"/>
          <w:tab w:val="left" w:pos="1468" w:leader="none"/>
        </w:tabs>
        <w:spacing w:lineRule="auto" w:line="240" w:before="0" w:after="0"/>
        <w:ind w:firstLine="709" w:left="0"/>
        <w:contextualSpacing/>
        <w:jc w:val="both"/>
        <w:rPr>
          <w:rFonts w:ascii="Times New Roman" w:hAnsi="Times New Roman" w:cs="Times New Roman"/>
          <w:sz w:val="28"/>
        </w:rPr>
      </w:pPr>
      <w:r>
        <w:rPr>
          <w:rFonts w:cs="Times New Roman" w:ascii="Times New Roman" w:hAnsi="Times New Roman"/>
          <w:sz w:val="28"/>
        </w:rPr>
        <w:t>Опубликовать настоящее решение в газете «Сельская новь»</w:t>
      </w:r>
      <w:r>
        <w:rPr>
          <w:rFonts w:cs="Times New Roman" w:ascii="Times New Roman" w:hAnsi="Times New Roman"/>
          <w:sz w:val="28"/>
          <w:szCs w:val="28"/>
        </w:rPr>
        <w:t xml:space="preserve"> и разместить на сайте администрации Прокопьевского муниципального округа.</w:t>
      </w:r>
    </w:p>
    <w:p>
      <w:pPr>
        <w:pStyle w:val="Normal"/>
        <w:numPr>
          <w:ilvl w:val="0"/>
          <w:numId w:val="1"/>
        </w:numPr>
        <w:tabs>
          <w:tab w:val="clear" w:pos="708"/>
          <w:tab w:val="left" w:pos="0" w:leader="none"/>
          <w:tab w:val="left" w:pos="851" w:leader="none"/>
          <w:tab w:val="left" w:pos="993" w:leader="none"/>
          <w:tab w:val="left" w:pos="1468" w:leader="none"/>
        </w:tabs>
        <w:spacing w:lineRule="auto" w:line="240" w:before="0" w:after="0"/>
        <w:ind w:firstLine="709" w:left="0"/>
        <w:contextualSpacing/>
        <w:jc w:val="both"/>
        <w:rPr>
          <w:rFonts w:ascii="Times New Roman" w:hAnsi="Times New Roman" w:cs="Times New Roman"/>
          <w:sz w:val="28"/>
        </w:rPr>
      </w:pPr>
      <w:r>
        <w:rPr>
          <w:rFonts w:cs="Times New Roman" w:ascii="Times New Roman" w:hAnsi="Times New Roman"/>
          <w:sz w:val="28"/>
        </w:rPr>
        <w:t>Настоящее решение вступает в силу после его официального опубликования.</w:t>
      </w:r>
    </w:p>
    <w:p>
      <w:pPr>
        <w:pStyle w:val="Normal"/>
        <w:numPr>
          <w:ilvl w:val="0"/>
          <w:numId w:val="1"/>
        </w:numPr>
        <w:tabs>
          <w:tab w:val="clear" w:pos="708"/>
          <w:tab w:val="left" w:pos="0" w:leader="none"/>
          <w:tab w:val="left" w:pos="851" w:leader="none"/>
          <w:tab w:val="left" w:pos="1134" w:leader="none"/>
          <w:tab w:val="left" w:pos="1468" w:leader="none"/>
        </w:tabs>
        <w:spacing w:lineRule="auto" w:line="240" w:before="0" w:after="0"/>
        <w:ind w:firstLine="709" w:left="0"/>
        <w:contextualSpacing/>
        <w:jc w:val="both"/>
        <w:rPr>
          <w:rFonts w:ascii="Times New Roman" w:hAnsi="Times New Roman" w:cs="Times New Roman"/>
          <w:sz w:val="28"/>
        </w:rPr>
      </w:pPr>
      <w:r>
        <w:rPr>
          <w:rFonts w:cs="Times New Roman" w:ascii="Times New Roman" w:hAnsi="Times New Roman"/>
          <w:sz w:val="28"/>
        </w:rPr>
        <w:t>Контроль за исполнением принятого решения возложить на председателя комиссии по бюджету и финансовой политике С.В. Шеха.</w:t>
      </w:r>
    </w:p>
    <w:p>
      <w:pPr>
        <w:pStyle w:val="Normal"/>
        <w:spacing w:lineRule="auto" w:line="240" w:before="0" w:after="0"/>
        <w:ind w:left="900"/>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p>
      <w:pPr>
        <w:pStyle w:val="Normal"/>
        <w:spacing w:lineRule="auto" w:line="240" w:before="0" w:after="0"/>
        <w:ind w:left="900"/>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p>
      <w:pPr>
        <w:pStyle w:val="Normal"/>
        <w:spacing w:lineRule="auto" w:line="240" w:before="0" w:after="0"/>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t xml:space="preserve">    </w:t>
      </w:r>
    </w:p>
    <w:p>
      <w:pPr>
        <w:pStyle w:val="Normal"/>
        <w:spacing w:lineRule="auto" w:line="240" w:before="0" w:after="0"/>
        <w:ind w:firstLine="709"/>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tbl>
      <w:tblPr>
        <w:tblW w:w="9767" w:type="dxa"/>
        <w:jc w:val="left"/>
        <w:tblInd w:w="109" w:type="dxa"/>
        <w:tblLayout w:type="fixed"/>
        <w:tblCellMar>
          <w:top w:w="0" w:type="dxa"/>
          <w:left w:w="108" w:type="dxa"/>
          <w:bottom w:w="0" w:type="dxa"/>
          <w:right w:w="108" w:type="dxa"/>
        </w:tblCellMar>
        <w:tblLook w:noVBand="1" w:val="04a0" w:noHBand="0" w:lastColumn="0" w:firstColumn="1" w:lastRow="0" w:firstRow="1"/>
      </w:tblPr>
      <w:tblGrid>
        <w:gridCol w:w="4237"/>
        <w:gridCol w:w="5529"/>
      </w:tblGrid>
      <w:tr>
        <w:trPr/>
        <w:tc>
          <w:tcPr>
            <w:tcW w:w="4237" w:type="dxa"/>
            <w:tcBorders/>
            <w:shd w:color="auto" w:fill="auto" w:val="clear"/>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Глава Прокопьевского муниципального округа</w:t>
            </w:r>
          </w:p>
        </w:tc>
        <w:tc>
          <w:tcPr>
            <w:tcW w:w="5529" w:type="dxa"/>
            <w:tcBorders/>
            <w:shd w:color="auto" w:fill="auto" w:val="clear"/>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Председатель Совета народных депутатов Прокопьевского муниципального округа</w:t>
            </w:r>
          </w:p>
        </w:tc>
      </w:tr>
      <w:tr>
        <w:trPr/>
        <w:tc>
          <w:tcPr>
            <w:tcW w:w="4237" w:type="dxa"/>
            <w:tcBorders/>
            <w:shd w:color="auto" w:fill="auto" w:val="clear"/>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c>
          <w:tcPr>
            <w:tcW w:w="5529" w:type="dxa"/>
            <w:tcBorders/>
            <w:shd w:color="auto" w:fill="auto" w:val="clear"/>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tc>
      </w:tr>
      <w:tr>
        <w:trPr/>
        <w:tc>
          <w:tcPr>
            <w:tcW w:w="4237" w:type="dxa"/>
            <w:tcBorders/>
            <w:shd w:color="auto" w:fill="auto" w:val="clear"/>
          </w:tcPr>
          <w:p>
            <w:pPr>
              <w:pStyle w:val="Normal"/>
              <w:widowControl w:val="false"/>
              <w:tabs>
                <w:tab w:val="clear" w:pos="708"/>
                <w:tab w:val="left" w:pos="0" w:leader="none"/>
              </w:tabs>
              <w:spacing w:lineRule="auto" w:line="240" w:before="0" w:after="0"/>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 Н.Г. Шабалина</w:t>
            </w:r>
          </w:p>
        </w:tc>
        <w:tc>
          <w:tcPr>
            <w:tcW w:w="5529" w:type="dxa"/>
            <w:tcBorders/>
            <w:shd w:color="auto" w:fill="auto" w:val="clear"/>
          </w:tcPr>
          <w:p>
            <w:pPr>
              <w:pStyle w:val="Normal"/>
              <w:widowControl w:val="false"/>
              <w:tabs>
                <w:tab w:val="clear" w:pos="708"/>
                <w:tab w:val="left" w:pos="0"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________________И.А. Лошманкина</w:t>
            </w:r>
          </w:p>
        </w:tc>
      </w:tr>
    </w:tbl>
    <w:p>
      <w:pPr>
        <w:pStyle w:val="Normal"/>
        <w:tabs>
          <w:tab w:val="clear" w:pos="708"/>
          <w:tab w:val="left" w:pos="993" w:leader="none"/>
        </w:tabs>
        <w:spacing w:before="0" w:after="0"/>
        <w:ind w:firstLine="284" w:left="-142"/>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p>
      <w:pPr>
        <w:pStyle w:val="Normal"/>
        <w:tabs>
          <w:tab w:val="clear" w:pos="708"/>
          <w:tab w:val="left" w:pos="993" w:leader="none"/>
        </w:tabs>
        <w:spacing w:before="0" w:after="0"/>
        <w:ind w:firstLine="284" w:left="-142"/>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p>
      <w:pPr>
        <w:pStyle w:val="Normal"/>
        <w:tabs>
          <w:tab w:val="clear" w:pos="708"/>
          <w:tab w:val="left" w:pos="993" w:leader="none"/>
        </w:tabs>
        <w:spacing w:lineRule="auto" w:line="240" w:before="0" w:after="0"/>
        <w:ind w:firstLine="142" w:left="-14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Председатель Совета народных депутатов     </w:t>
      </w:r>
    </w:p>
    <w:p>
      <w:pPr>
        <w:pStyle w:val="Normal"/>
        <w:tabs>
          <w:tab w:val="clear" w:pos="708"/>
          <w:tab w:val="left" w:pos="993" w:leader="none"/>
          <w:tab w:val="left" w:pos="7726" w:leader="none"/>
        </w:tabs>
        <w:spacing w:lineRule="auto" w:line="240" w:before="0" w:after="0"/>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8"/>
          <w:lang w:eastAsia="ru-RU"/>
        </w:rPr>
        <w:t>Прокопьевского муниципального  округа                              И.А. Лошманкина</w:t>
      </w:r>
    </w:p>
    <w:p>
      <w:pPr>
        <w:pStyle w:val="Normal"/>
        <w:spacing w:lineRule="auto" w:line="240" w:before="0" w:after="0"/>
        <w:ind w:firstLine="709"/>
        <w:jc w:val="both"/>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p>
      <w:pPr>
        <w:pStyle w:val="Normal"/>
        <w:spacing w:lineRule="auto" w:line="240" w:before="0" w:after="0"/>
        <w:ind w:left="720"/>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p>
      <w:pPr>
        <w:pStyle w:val="Normal"/>
        <w:spacing w:lineRule="auto" w:line="240" w:before="0" w:after="0"/>
        <w:ind w:left="720"/>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sectPr>
          <w:type w:val="nextPage"/>
          <w:pgSz w:w="11906" w:h="16838"/>
          <w:pgMar w:left="1701" w:right="851" w:gutter="0" w:header="0" w:top="851" w:footer="0" w:bottom="851"/>
          <w:pgNumType w:fmt="decimal"/>
          <w:formProt w:val="false"/>
          <w:textDirection w:val="lrTb"/>
          <w:docGrid w:type="default" w:linePitch="360" w:charSpace="8192"/>
        </w:sect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Приложение 1 к решению Совета народных депутатов Прокопьевского муниципального округа от                                2026 года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t>Показатели доходов бюджета Прокопьевского муниципального округа за 2025 год по кодам классификации доходов</w:t>
      </w:r>
    </w:p>
    <w:p>
      <w:pPr>
        <w:pStyle w:val="Normal"/>
        <w:spacing w:lineRule="auto" w:line="240" w:before="0" w:after="0"/>
        <w:jc w:val="center"/>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r>
    </w:p>
    <w:tbl>
      <w:tblPr>
        <w:tblW w:w="14786" w:type="dxa"/>
        <w:jc w:val="left"/>
        <w:tblInd w:w="93" w:type="dxa"/>
        <w:tblLayout w:type="fixed"/>
        <w:tblCellMar>
          <w:top w:w="0" w:type="dxa"/>
          <w:left w:w="108" w:type="dxa"/>
          <w:bottom w:w="0" w:type="dxa"/>
          <w:right w:w="108" w:type="dxa"/>
        </w:tblCellMar>
        <w:tblLook w:noVBand="1" w:val="04a0" w:noHBand="0" w:lastColumn="0" w:firstColumn="1" w:lastRow="0" w:firstRow="1"/>
      </w:tblPr>
      <w:tblGrid>
        <w:gridCol w:w="520"/>
        <w:gridCol w:w="519"/>
        <w:gridCol w:w="940"/>
        <w:gridCol w:w="540"/>
        <w:gridCol w:w="821"/>
        <w:gridCol w:w="785"/>
        <w:gridCol w:w="8082"/>
        <w:gridCol w:w="2577"/>
      </w:tblGrid>
      <w:tr>
        <w:trPr>
          <w:trHeight w:val="315" w:hRule="atLeast"/>
        </w:trPr>
        <w:tc>
          <w:tcPr>
            <w:tcW w:w="520"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9"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40"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40"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21"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85"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082" w:type="dxa"/>
            <w:tcBorders>
              <w:bottom w:val="single" w:sz="8"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577" w:type="dxa"/>
            <w:tcBorders>
              <w:bottom w:val="single" w:sz="8"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рублей</w:t>
            </w:r>
          </w:p>
        </w:tc>
      </w:tr>
      <w:tr>
        <w:trPr>
          <w:trHeight w:val="630" w:hRule="atLeast"/>
        </w:trPr>
        <w:tc>
          <w:tcPr>
            <w:tcW w:w="4125" w:type="dxa"/>
            <w:gridSpan w:val="6"/>
            <w:tcBorders>
              <w:top w:val="single" w:sz="4" w:space="0" w:color="000000"/>
              <w:left w:val="single" w:sz="4" w:space="0" w:color="000000"/>
              <w:bottom w:val="single" w:sz="4" w:space="0" w:color="000000"/>
            </w:tcBorders>
            <w:shd w:color="auto" w:fill="auto" w:val="clear"/>
            <w:vAlign w:val="bottom"/>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Код дохода</w:t>
            </w:r>
          </w:p>
        </w:tc>
        <w:tc>
          <w:tcPr>
            <w:tcW w:w="8082" w:type="dxa"/>
            <w:tcBorders>
              <w:top w:val="single" w:sz="4" w:space="0" w:color="000000"/>
              <w:left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bookmarkStart w:id="0" w:name="RANGE!G6%253AH145"/>
            <w:r>
              <w:rPr>
                <w:rFonts w:eastAsia="Times New Roman" w:cs="Times New Roman" w:ascii="Times New Roman" w:hAnsi="Times New Roman"/>
                <w:b/>
                <w:bCs/>
                <w:sz w:val="24"/>
                <w:szCs w:val="24"/>
                <w:lang w:eastAsia="ru-RU"/>
              </w:rPr>
              <w:t>Наименование администратора поступлений в местный бюджет и кода дохода местного бюджета</w:t>
            </w:r>
            <w:bookmarkEnd w:id="0"/>
          </w:p>
        </w:tc>
        <w:tc>
          <w:tcPr>
            <w:tcW w:w="2577" w:type="dxa"/>
            <w:tcBorders>
              <w:top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Исполнено</w:t>
            </w:r>
          </w:p>
        </w:tc>
      </w:tr>
      <w:tr>
        <w:trPr>
          <w:trHeight w:val="315" w:hRule="atLeast"/>
        </w:trPr>
        <w:tc>
          <w:tcPr>
            <w:tcW w:w="4125" w:type="dxa"/>
            <w:gridSpan w:val="6"/>
            <w:tcBorders>
              <w:top w:val="single" w:sz="4" w:space="0" w:color="000000"/>
              <w:left w:val="single" w:sz="4" w:space="0" w:color="000000"/>
              <w:bottom w:val="single" w:sz="4" w:space="0" w:color="000000"/>
            </w:tcBorders>
            <w:shd w:color="auto" w:fill="auto" w:val="clear"/>
            <w:vAlign w:val="bottom"/>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011</w:t>
            </w:r>
          </w:p>
        </w:tc>
        <w:tc>
          <w:tcPr>
            <w:tcW w:w="8082" w:type="dxa"/>
            <w:tcBorders>
              <w:top w:val="single" w:sz="4" w:space="0" w:color="000000"/>
              <w:left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Министерство лесного комплекса и охотничьего хозяйства Кузбасса</w:t>
            </w:r>
          </w:p>
        </w:tc>
        <w:tc>
          <w:tcPr>
            <w:tcW w:w="2577" w:type="dxa"/>
            <w:tcBorders>
              <w:top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653,69</w:t>
            </w:r>
          </w:p>
        </w:tc>
      </w:tr>
      <w:tr>
        <w:trPr>
          <w:trHeight w:val="220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05326</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w:t>
            </w:r>
          </w:p>
        </w:tc>
        <w:tc>
          <w:tcPr>
            <w:tcW w:w="8082" w:type="dxa"/>
            <w:tcBorders>
              <w:top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Плата по соглашениям об установлении сервитута, заключенным органами исполнительной власти субъектов Российской Федерации, государственными или муниципальными предприятиями либо государственными или муниципальными учреждениями в отношении земельных участков, которые расположены в границах муниципальных округов, которые находятся в федеральной собственности и осуществление полномочий по управлению и распоряжению которыми передано органам государственной власти субъектов Российской Федерации</w:t>
            </w:r>
          </w:p>
        </w:tc>
        <w:tc>
          <w:tcPr>
            <w:tcW w:w="2577" w:type="dxa"/>
            <w:tcBorders>
              <w:top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653,69</w:t>
            </w:r>
          </w:p>
        </w:tc>
      </w:tr>
      <w:tr>
        <w:trPr>
          <w:trHeight w:val="315" w:hRule="atLeast"/>
        </w:trPr>
        <w:tc>
          <w:tcPr>
            <w:tcW w:w="4125" w:type="dxa"/>
            <w:gridSpan w:val="6"/>
            <w:tcBorders>
              <w:top w:val="single" w:sz="4" w:space="0" w:color="000000"/>
              <w:lef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012</w:t>
            </w:r>
          </w:p>
        </w:tc>
        <w:tc>
          <w:tcPr>
            <w:tcW w:w="8082"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Министерство образования и науки Кузбасса</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39 223,68</w:t>
            </w:r>
          </w:p>
        </w:tc>
      </w:tr>
      <w:tr>
        <w:trPr>
          <w:trHeight w:val="189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01053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0035</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16 965,61</w:t>
            </w:r>
          </w:p>
        </w:tc>
      </w:tr>
      <w:tr>
        <w:trPr>
          <w:trHeight w:val="189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01063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0023</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вовлечение несовершеннолетнего в процесс потребления табака)</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750,00</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01063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0101</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4 975,00</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01063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(иные штрафы)</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2 631,65</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01073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0017</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300,00</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01073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0027</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мелкое хищение)</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2 554,83</w:t>
            </w:r>
          </w:p>
        </w:tc>
      </w:tr>
      <w:tr>
        <w:trPr>
          <w:trHeight w:val="189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01203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0021</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10 546,59</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01203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(иные штрафы)</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500,00</w:t>
            </w:r>
          </w:p>
        </w:tc>
      </w:tr>
      <w:tr>
        <w:trPr>
          <w:trHeight w:val="315" w:hRule="atLeast"/>
        </w:trPr>
        <w:tc>
          <w:tcPr>
            <w:tcW w:w="4125" w:type="dxa"/>
            <w:gridSpan w:val="6"/>
            <w:tcBorders>
              <w:top w:val="single" w:sz="4" w:space="0" w:color="000000"/>
              <w:lef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048</w:t>
            </w:r>
          </w:p>
        </w:tc>
        <w:tc>
          <w:tcPr>
            <w:tcW w:w="8082"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Федеральная служба по надзору в сфере природопользования</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88 241 393,37</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2 116 990,12</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01030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Плата за сбросы загрязняющих веществ в водные объекты (федеральные государственные органы, Банк России, органы управления государственными внебюджетными фондами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176 309,35</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01041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 период: 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85 948 093,90</w:t>
            </w:r>
          </w:p>
        </w:tc>
      </w:tr>
      <w:tr>
        <w:trPr>
          <w:trHeight w:val="315" w:hRule="atLeast"/>
        </w:trPr>
        <w:tc>
          <w:tcPr>
            <w:tcW w:w="4125" w:type="dxa"/>
            <w:gridSpan w:val="6"/>
            <w:tcBorders>
              <w:top w:val="single" w:sz="4" w:space="0" w:color="000000"/>
              <w:lef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182</w:t>
            </w:r>
          </w:p>
        </w:tc>
        <w:tc>
          <w:tcPr>
            <w:tcW w:w="8082"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Федеральная налоговая служба</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1 316 702 301,37</w:t>
            </w:r>
          </w:p>
        </w:tc>
      </w:tr>
      <w:tr>
        <w:trPr>
          <w:trHeight w:val="378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435 689 607,06</w:t>
            </w:r>
          </w:p>
        </w:tc>
      </w:tr>
      <w:tr>
        <w:trPr>
          <w:trHeight w:val="378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 (суммы денежных взысканий (штрафов) по соответствующему платежу согласно законодательству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19 045,66</w:t>
            </w:r>
          </w:p>
        </w:tc>
      </w:tr>
      <w:tr>
        <w:trPr>
          <w:trHeight w:val="201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02020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-130 177,13</w:t>
            </w:r>
          </w:p>
        </w:tc>
      </w:tr>
      <w:tr>
        <w:trPr>
          <w:trHeight w:val="201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02020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656,05</w:t>
            </w:r>
          </w:p>
        </w:tc>
      </w:tr>
      <w:tr>
        <w:trPr>
          <w:trHeight w:val="283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02021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50 700,00</w:t>
            </w:r>
          </w:p>
        </w:tc>
      </w:tr>
      <w:tr>
        <w:trPr>
          <w:trHeight w:val="283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02022</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152 420,40</w:t>
            </w:r>
          </w:p>
        </w:tc>
      </w:tr>
      <w:tr>
        <w:trPr>
          <w:trHeight w:val="259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02030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1 357 307,21</w:t>
            </w:r>
          </w:p>
        </w:tc>
      </w:tr>
      <w:tr>
        <w:trPr>
          <w:trHeight w:val="252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02030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(суммы денежных взысканий (штрафов) по соответствующему платежу согласно законодательству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3 990,90</w:t>
            </w:r>
          </w:p>
        </w:tc>
      </w:tr>
      <w:tr>
        <w:trPr>
          <w:trHeight w:val="722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02080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7 458 270,38</w:t>
            </w:r>
          </w:p>
        </w:tc>
      </w:tr>
      <w:tr>
        <w:trPr>
          <w:trHeight w:val="19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02130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427 669,65</w:t>
            </w:r>
          </w:p>
        </w:tc>
      </w:tr>
      <w:tr>
        <w:trPr>
          <w:trHeight w:val="1988"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02140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2 965 114,36</w:t>
            </w:r>
          </w:p>
        </w:tc>
      </w:tr>
      <w:tr>
        <w:trPr>
          <w:trHeight w:val="504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02150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3 508 382,59</w:t>
            </w:r>
          </w:p>
        </w:tc>
      </w:tr>
      <w:tr>
        <w:trPr>
          <w:trHeight w:val="504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02160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1 114 834,30</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02210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110 370 508,69</w:t>
            </w:r>
          </w:p>
        </w:tc>
      </w:tr>
      <w:tr>
        <w:trPr>
          <w:trHeight w:val="14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02230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301 255,76</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02231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20 802 729,17</w:t>
            </w:r>
          </w:p>
        </w:tc>
      </w:tr>
      <w:tr>
        <w:trPr>
          <w:trHeight w:val="189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02241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121 724,80</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02251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22 164 049,48</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02261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-2 079 993,93</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03000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Туристический налог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294 097,90</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01011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взимаемый с налогоплательщиков, выбравших в качестве объекта налогообложения доходы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28 672 598,37</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01011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взимаемый с налогоплательщиков, выбравших в качестве объекта налогообложения доходы (суммы денежных взысканий (штрафов) по соответствующему платежу согласно законодательству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15 180,94</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01021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9 186 223,50</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01021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 (суммы денежных взысканий (штрафов) по соответствующему платежу согласно законодательству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6 114,73</w:t>
            </w:r>
          </w:p>
        </w:tc>
      </w:tr>
      <w:tr>
        <w:trPr>
          <w:trHeight w:val="109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Единый налог на вмененный доход для отдельных видов деятельности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23 253,40</w:t>
            </w:r>
          </w:p>
        </w:tc>
      </w:tr>
      <w:tr>
        <w:trPr>
          <w:trHeight w:val="112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Единый налог на вмененный доход для отдельных видов деятельности (суммы денежных взысканий (штрафов) по соответствующему платежу согласно законодательству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1 114,41</w:t>
            </w:r>
          </w:p>
        </w:tc>
      </w:tr>
      <w:tr>
        <w:trPr>
          <w:trHeight w:val="103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Единый сельскохозяйственный налог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5 914 013,13</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04060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взимаемый в связи с применением патентной системы налогообложения, зачисляемый в бюджеты муниципальных округов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11 214 660,82</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01020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Налог на имущество физических лиц, взимаемый по ставкам, применяемым к объектам налогообложения,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9 317 688,87</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04011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Транспортный налог с организаций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1 566 508,78</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04012</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Транспортный налог с физических лиц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1 566 562,15</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06032</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Земельный налог с организаций,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628 767 347,80</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06042</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Земельный налог с физических лиц, обладающих земельным участком, расположенным в границах муниципальных округов (сумма платежа (перерасчеты, недоимка и задолженность по соответствующему платежу, в том числе по отмененному)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9 229 266,07</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1050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при обращении в суды)</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6 194 588,05</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1060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Государственная пошлина по делам, рассматриваемым в судах общей юрисдикции, мировыми судьями (за исключением Верховного Суда Российской Федерации) (государственная пошлина, уплачиваемая на основании судебных актов по результатам рассмотрения дел по существу)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434 987,05</w:t>
            </w:r>
          </w:p>
        </w:tc>
      </w:tr>
      <w:tr>
        <w:trPr>
          <w:trHeight w:val="315" w:hRule="atLeast"/>
        </w:trPr>
        <w:tc>
          <w:tcPr>
            <w:tcW w:w="4125"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857</w:t>
            </w:r>
          </w:p>
        </w:tc>
        <w:tc>
          <w:tcPr>
            <w:tcW w:w="8082"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Государственная жилищная инспекция Кузбасса</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17 500,00</w:t>
            </w:r>
          </w:p>
        </w:tc>
      </w:tr>
      <w:tr>
        <w:trPr>
          <w:trHeight w:val="283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01193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0005</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 (штрафы за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17 500,00</w:t>
            </w:r>
          </w:p>
        </w:tc>
      </w:tr>
      <w:tr>
        <w:trPr>
          <w:trHeight w:val="495" w:hRule="atLeast"/>
        </w:trPr>
        <w:tc>
          <w:tcPr>
            <w:tcW w:w="4125" w:type="dxa"/>
            <w:gridSpan w:val="6"/>
            <w:tcBorders>
              <w:top w:val="single" w:sz="4" w:space="0" w:color="000000"/>
              <w:lef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874</w:t>
            </w:r>
          </w:p>
        </w:tc>
        <w:tc>
          <w:tcPr>
            <w:tcW w:w="8082"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Управление по обеспечению деятельности мировых судей в Кузбассе</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63 721,43</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01053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0061</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 (штрафы за оскорбление)</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8 999,99</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01063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0101</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 (штрафы за побои)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7 500,00</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01073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0017</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 (штрафы за уничтожение или повреждение чужого имущества)</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451,37</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01143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 (иные штрафы)</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3 750,00</w:t>
            </w:r>
          </w:p>
        </w:tc>
      </w:tr>
      <w:tr>
        <w:trPr>
          <w:trHeight w:val="2501"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01153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0006</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 (штрафы за непредставление (несообщение) сведений, необходимых для осуществления налогового контроля)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750,00</w:t>
            </w:r>
          </w:p>
        </w:tc>
      </w:tr>
      <w:tr>
        <w:trPr>
          <w:trHeight w:val="220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01173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0007</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 (штрафы за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1 000,00</w:t>
            </w:r>
          </w:p>
        </w:tc>
      </w:tr>
      <w:tr>
        <w:trPr>
          <w:trHeight w:val="189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01203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0021</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появление в общественных местах в состоянии опьянения)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1 250,00</w:t>
            </w:r>
          </w:p>
        </w:tc>
      </w:tr>
      <w:tr>
        <w:trPr>
          <w:trHeight w:val="1691"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01203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0025</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 (штрафы за уклонение от исполнения административного наказания)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40 020,07</w:t>
            </w:r>
          </w:p>
        </w:tc>
      </w:tr>
      <w:tr>
        <w:trPr>
          <w:trHeight w:val="315" w:hRule="atLeast"/>
        </w:trPr>
        <w:tc>
          <w:tcPr>
            <w:tcW w:w="4125" w:type="dxa"/>
            <w:gridSpan w:val="6"/>
            <w:tcBorders>
              <w:top w:val="single" w:sz="4" w:space="0" w:color="000000"/>
              <w:lef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895</w:t>
            </w:r>
          </w:p>
        </w:tc>
        <w:tc>
          <w:tcPr>
            <w:tcW w:w="8082"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Департамент по охране объектов животного мира Кузбасса</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53 821,20</w:t>
            </w:r>
          </w:p>
        </w:tc>
      </w:tr>
      <w:tr>
        <w:trPr>
          <w:trHeight w:val="252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11050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53 821,20</w:t>
            </w:r>
          </w:p>
        </w:tc>
      </w:tr>
      <w:tr>
        <w:trPr>
          <w:trHeight w:val="315" w:hRule="atLeast"/>
        </w:trPr>
        <w:tc>
          <w:tcPr>
            <w:tcW w:w="4125" w:type="dxa"/>
            <w:gridSpan w:val="6"/>
            <w:tcBorders>
              <w:top w:val="single" w:sz="4" w:space="0" w:color="000000"/>
              <w:lef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900</w:t>
            </w:r>
          </w:p>
        </w:tc>
        <w:tc>
          <w:tcPr>
            <w:tcW w:w="8082"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Администрация Прокопьевского муниципального округа</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670 884 647,21</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01994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доходы от оказания платных услуг (работ) получателями средств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38 987 458,95</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02994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0003</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доходы от компенсации затрат бюджетов муниципальных округов (возврат дебиторской задолженности прошлых лет)</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3 461 823,23</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02994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0005</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доходы от компенсации затрат бюджетов муниципальных округов (доходы от компенсации затрат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3 307 208,50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02994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0009</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доходы от компенсации затрат бюджетов муниципальных округов (возврат дебиторской задолженности прошлых лет (местный бюджет)</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2 012 512,07</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02042</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212 025,40</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0002</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Административные штрафы, установленные законами субъектов Российской Федерации об административных правонарушениях, за нарушение законов и иных нормативных правовых актов субъектов Российской Федерации (штрафы, налагаемые административными комиссиями)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156 515,67</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02020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 период: 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190 013,05</w:t>
            </w:r>
          </w:p>
        </w:tc>
      </w:tr>
      <w:tr>
        <w:trPr>
          <w:trHeight w:val="1249"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337 370,70</w:t>
            </w:r>
          </w:p>
        </w:tc>
      </w:tr>
      <w:tr>
        <w:trPr>
          <w:trHeight w:val="1118"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09040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Денежные средства, изымаемые в собственность муниципального округа в соответствии с решениями судов (за исключением обвинительных приговоров и постановлений судов, вынесенных при производстве по уголовным делам)</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45 000,00</w:t>
            </w:r>
          </w:p>
        </w:tc>
      </w:tr>
      <w:tr>
        <w:trPr>
          <w:trHeight w:val="31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05040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неналоговые доходы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100 000,00</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20041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Субсидии бюджетам муниципальных округов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46 038 000,00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20077</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Субсидии бюджетам муниципальных округов на софинансирование капитальных вложений в объекты муниципальной собственности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163 551 676,79</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25154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Субсидии бюджетам муниципальных округов на реализацию мероприятий по модернизации коммунальной инфраструктуры</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89 315 400,00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25497</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Субсидии бюджетам муниципальных округов на реализацию мероприятий по обеспечению жильем молодых семей</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14 839 053,60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25555</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Субсидии бюджетам муниципальных округов на реализацию программ формирования современной городской среды</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16 454 191,79</w:t>
            </w:r>
          </w:p>
        </w:tc>
      </w:tr>
      <w:tr>
        <w:trPr>
          <w:trHeight w:val="31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29999</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субсидии бюджетам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18 564 752,00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30024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Субвенции бюджетам муниципальных округов на выполнение передаваемых полномочий субъектов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273 457 890,69</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35118</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Субвенции бюджетам муниципальных округов на осуществление первичного воинского учета органами местного самоуправления поселений, муниципальных и городских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4 199 700,00</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35120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Субвенции бюджетам муниципальных округов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3 800,00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25576</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Возврат остатков субсидий на обеспечение комплексного развития сельских территорий из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-887 922,00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-3 461 823,23</w:t>
            </w:r>
          </w:p>
        </w:tc>
      </w:tr>
      <w:tr>
        <w:trPr>
          <w:trHeight w:val="630" w:hRule="atLeast"/>
        </w:trPr>
        <w:tc>
          <w:tcPr>
            <w:tcW w:w="4125" w:type="dxa"/>
            <w:gridSpan w:val="6"/>
            <w:tcBorders>
              <w:top w:val="single" w:sz="4" w:space="0" w:color="000000"/>
              <w:lef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905</w:t>
            </w:r>
          </w:p>
        </w:tc>
        <w:tc>
          <w:tcPr>
            <w:tcW w:w="8082"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Комитет по управлению муниципальной собственностью администрации Прокопьевского муниципального округа</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1 042 109 690,90</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05012</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муниципальных округов, а также средства от продажи права на заключение договоров аренды указанных земельных участков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863 804 122,45</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05024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округов (за исключением земельных участков муниципальных бюджетных и автономных учреждений)</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3 605 536,44</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05074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от сдачи в аренду имущества, составляющего казну муниципальных округов (за исключением земельных участков)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4 867 135,66</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05312</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Плата по соглашениям об установлении сервитута, заключенным органами местного самоуправления муниципальных округов,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41 951 640,17</w:t>
            </w:r>
          </w:p>
        </w:tc>
      </w:tr>
      <w:tr>
        <w:trPr>
          <w:trHeight w:val="2258"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05410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Плата за публичный сервитут, предусмотренная решением уполномоченного органа об установлении публичного сервитута в отношении земельных участков, государственная собственность на которые не разграничена и которые расположены в границах муниципальных округов и не предоставленных гражданам или юридическим лицам (за исключением органов государственной власти (государственных органов), органов местного самоуправления (муниципальных органов), органов управления государственными внебюджетными фондами и казенных учреждений)</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164 140,87</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09044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поступления от использования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234 871,50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02994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0003</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доходы от компенсации затрат бюджетов муниципальных округов (возврат дебиторской задолженности прошлых лет)</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2 097 800,36</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02994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0009</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доходы от компенсации затрат бюджетов муниципальных округов (возврат дебиторской задолженности прошлых лет (местный бюджет)</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96 447,06</w:t>
            </w:r>
          </w:p>
        </w:tc>
      </w:tr>
      <w:tr>
        <w:trPr>
          <w:trHeight w:val="129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02043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от реализации иного имущества, находящегося в собственности муниципальных округов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5 388 512,55</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06012</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от продажи земельных участков, государственная собственность на которые не разграничена и которые расположены в границах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63 878 852,45</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464 821,42</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07090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0001</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(прочие штрафы)</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866 429,90</w:t>
            </w:r>
          </w:p>
        </w:tc>
      </w:tr>
      <w:tr>
        <w:trPr>
          <w:trHeight w:val="112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07090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0002</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округа (неосновательное обогащение)</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19 717 344,43</w:t>
            </w:r>
          </w:p>
        </w:tc>
      </w:tr>
      <w:tr>
        <w:trPr>
          <w:trHeight w:val="859"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10031</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Возмещение ущерба при возникновении страховых случаев, когда выгодоприобретателями выступают получатели средств бюджета муниципального округа</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29 000,00</w:t>
            </w:r>
          </w:p>
        </w:tc>
      </w:tr>
      <w:tr>
        <w:trPr>
          <w:trHeight w:val="1549"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20299</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Субсидии бюджетам муниципальных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2 448 520,00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25599</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Субсидии бюджетам муниципальных округов на подготовку проектов межевания земельных участков и на проведение кадастровых работ</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472 000,00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30024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Субвенции бюджетам муниципальных округов на выполнение передаваемых полномочий субъектов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23 939 903,00</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35082</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Субвенции бюджетам муниципальных округов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10 180 413,00</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35082</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Возврат остатков субвенций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из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-192 600,00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-1 905 200,36</w:t>
            </w:r>
          </w:p>
        </w:tc>
      </w:tr>
      <w:tr>
        <w:trPr>
          <w:trHeight w:val="630" w:hRule="atLeast"/>
        </w:trPr>
        <w:tc>
          <w:tcPr>
            <w:tcW w:w="4125" w:type="dxa"/>
            <w:gridSpan w:val="6"/>
            <w:tcBorders>
              <w:top w:val="single" w:sz="4" w:space="0" w:color="000000"/>
              <w:lef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911</w:t>
            </w:r>
          </w:p>
        </w:tc>
        <w:tc>
          <w:tcPr>
            <w:tcW w:w="8082"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Управление образования администрации Прокопьевского муниципального округа</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1 183 264 336,66</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02994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0005</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доходы от компенсации затрат бюджетов муниципальных округов (доходы от компенсации затрат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10 000,00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02994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0009</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доходы от компенсации затрат бюджетов муниципальных округов (возврат дебиторской задолженности прошлых лет (местный бюджет)</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346 680,00</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02042</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округов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149 700,00</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25179</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Субсидии бюджетам муниципальных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3 284 420,22</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25304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Субсидии бюджетам муниципальных округов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29 346 160,65</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25750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Субсидии бюджетам муниципальных округов на реализацию мероприятий по модернизации школьных систем образования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192 885 844,17</w:t>
            </w:r>
          </w:p>
        </w:tc>
      </w:tr>
      <w:tr>
        <w:trPr>
          <w:trHeight w:val="503"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29999</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субсидии бюджетам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79 302 158,27</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30024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Субвенции бюджетам муниципальных округов на выполнение передаваемых полномочий субъектов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705 844 131,21</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30027</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Субвенции бюджетам муниципальных округов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21 264 500,00</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30029</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Субвенции бюджетам муниципальных округов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9 090,80</w:t>
            </w:r>
          </w:p>
        </w:tc>
      </w:tr>
      <w:tr>
        <w:trPr>
          <w:trHeight w:val="216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45050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Межбюджетные трансферты, передаваемые бюджетам муниципальных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1 987 279,40</w:t>
            </w:r>
          </w:p>
        </w:tc>
      </w:tr>
      <w:tr>
        <w:trPr>
          <w:trHeight w:val="1691"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45303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Межбюджетные трансферты, передаваемые бюджетам муниципальных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57 726 240,00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04050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0012</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безвозмездные поступления в бюджеты муниципальных округов (акция "1 сентября - каждому школьнику")</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239 140,00</w:t>
            </w:r>
          </w:p>
        </w:tc>
      </w:tr>
      <w:tr>
        <w:trPr>
          <w:trHeight w:val="758"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04050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0020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Поступления от денежных пожертвований, предоставляемых физическими лицами получателям средств бюджетов муниципальных округов (прочие целевые поступления)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4 100,00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бюджетов муниципальных округов от возврата бюджетными учреждениями остатков субсидий прошлых лет</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91 052 072,74</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-187 180,80</w:t>
            </w:r>
          </w:p>
        </w:tc>
      </w:tr>
      <w:tr>
        <w:trPr>
          <w:trHeight w:val="559" w:hRule="atLeast"/>
        </w:trPr>
        <w:tc>
          <w:tcPr>
            <w:tcW w:w="4125" w:type="dxa"/>
            <w:gridSpan w:val="6"/>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913</w:t>
            </w:r>
          </w:p>
        </w:tc>
        <w:tc>
          <w:tcPr>
            <w:tcW w:w="8082"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Управление культуры администрации Прокопьевского муниципального округа</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19 574 091,98</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w:t>
            </w:r>
          </w:p>
        </w:tc>
        <w:tc>
          <w:tcPr>
            <w:tcW w:w="519"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13</w:t>
            </w:r>
          </w:p>
        </w:tc>
        <w:tc>
          <w:tcPr>
            <w:tcW w:w="940"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02994</w:t>
            </w:r>
          </w:p>
        </w:tc>
        <w:tc>
          <w:tcPr>
            <w:tcW w:w="540"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14</w:t>
            </w:r>
          </w:p>
        </w:tc>
        <w:tc>
          <w:tcPr>
            <w:tcW w:w="821"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0005</w:t>
            </w:r>
          </w:p>
        </w:tc>
        <w:tc>
          <w:tcPr>
            <w:tcW w:w="785"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доходы от компенсации затрат бюджетов муниципальных округов (доходы от компенсации затрат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13 000,00</w:t>
            </w:r>
          </w:p>
        </w:tc>
      </w:tr>
      <w:tr>
        <w:trPr>
          <w:trHeight w:val="31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29999</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субсидии бюджетам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6 098 000,00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04099</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безвозмездные поступления от государственных (муниципальных) организаций в бюджеты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2 006 732,58</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04020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Доходы бюджетов муниципальных округов от возврата автономными учреждениями остатков субсидий прошлых лет</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11 456 359,40</w:t>
            </w:r>
          </w:p>
        </w:tc>
      </w:tr>
      <w:tr>
        <w:trPr>
          <w:trHeight w:val="630" w:hRule="atLeast"/>
        </w:trPr>
        <w:tc>
          <w:tcPr>
            <w:tcW w:w="4125" w:type="dxa"/>
            <w:gridSpan w:val="6"/>
            <w:tcBorders>
              <w:top w:val="single" w:sz="4" w:space="0" w:color="000000"/>
              <w:lef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915</w:t>
            </w:r>
          </w:p>
        </w:tc>
        <w:tc>
          <w:tcPr>
            <w:tcW w:w="8082"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Управление социальной защиты населения администрации Прокопьевского муниципального округа</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150 592 843,13</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01994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доходы от оказания платных услуг (работ) получателями средств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5 335 673,79</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02994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0003</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доходы от компенсации затрат бюджетов муниципальных округов (возврат дебиторской задолженности прошлых лет)</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11 289,75</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округа</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2 291,52</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25163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Субсидии бюджетам муниципальных округов на создание системы долговременного ухода за гражданами пожилого возраста и инвалидами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6 002 300,00</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30013</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Субвенции бюджетам муниципальных округов на обеспечение мер социальной поддержки реабилитированных лиц и лиц, признанных пострадавшими от политических репрессий</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22 495,00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30024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Субвенции бюджетам муниципальных округов на выполнение передаваемых полномочий субъектов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137 879 526,82</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04050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безвозмездные поступления в бюджеты муниципальных округов (ветеранам Великой Отечественной Войны)</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950 806,00</w:t>
            </w:r>
          </w:p>
        </w:tc>
      </w:tr>
      <w:tr>
        <w:trPr>
          <w:trHeight w:val="94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04050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0111</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безвозмездные поступления в бюджеты муниципальных округов (на мероприятия по увековечиванию памяти героев ВОВ и СВО поддержка ветеранов ВОВ, участников СВО и их семей)</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399 750,00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60010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Возврат прочих остатков субсидий, субвенций и иных межбюджетных трансфертов, имеющих целевое назначение, прошлых лет из бюджетов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-11 289,75</w:t>
            </w:r>
          </w:p>
        </w:tc>
      </w:tr>
      <w:tr>
        <w:trPr>
          <w:trHeight w:val="630" w:hRule="atLeast"/>
        </w:trPr>
        <w:tc>
          <w:tcPr>
            <w:tcW w:w="4125" w:type="dxa"/>
            <w:gridSpan w:val="6"/>
            <w:tcBorders>
              <w:top w:val="single" w:sz="4" w:space="0" w:color="000000"/>
              <w:left w:val="single" w:sz="4" w:space="0" w:color="000000"/>
              <w:bottom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955</w:t>
            </w:r>
          </w:p>
        </w:tc>
        <w:tc>
          <w:tcPr>
            <w:tcW w:w="8082"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Финансовое управление администрации Прокопьевского муниципального округа</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156 368 857,11</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15020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2621</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Инициативные платежи, зачисляемые в бюджеты муниципальных округов (благоустройство территории кладбища (текущий ремонт), расположенного по адресу: 653208, Кемеровская область - Кузбасс, Прокопьевский муниципальный округ, окраина д.Малая Талда, (Большеталдинская сельская территория))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63 988,24</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15020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2622</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Инициативные платежи, зачисляемые в бюджеты муниципальных округов (благоустройство территории кладбища (текущий ремонт), расположенного по адресу: 653202, Кемеровская область-Кузбасс, Прокопьевский муниципальный округ, окраина п.Ивановка, (Бурлаковская сельская территория))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49 307,46</w:t>
            </w:r>
          </w:p>
        </w:tc>
      </w:tr>
      <w:tr>
        <w:trPr>
          <w:trHeight w:val="1408"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15020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2623</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24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Инициативные платежи, зачисляемые в бюджеты муниципальных округов (благоустройство территории кладбища (текущий ремонт), расположенного по адресу: 653260, Кемеровская область-Кузбасс, Прокопьевский муниципальный округ, окраина с. Оселки (Каменно-Ключевская сельская территория))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48 279,52</w:t>
            </w:r>
          </w:p>
        </w:tc>
      </w:tr>
      <w:tr>
        <w:trPr>
          <w:trHeight w:val="157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15020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2624</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Инициативные платежи, зачисляемые в бюджеты муниципальных округов (благоустройство территории МБОУ «Михайловская основная общеобразовательная школа» (текущий ремонт), расположенной по адресу: 653241, Кемеровская область - Кузбасс, Прокопьевский муниципальный округ, с.Михайловка, ул. Центральная, 25 (Михайловская сельская территория))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160 979,12</w:t>
            </w:r>
          </w:p>
        </w:tc>
      </w:tr>
      <w:tr>
        <w:trPr>
          <w:trHeight w:val="126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15020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2625</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Инициативные платежи, зачисляемые в бюджеты муниципальных округов (благоустройство территории для отдыха (текущий ремонт), расположенной по адресу: 653250, Кемеровская область-Кузбасс, Прокопьевский муниципальный округ, п. Трудармейский, район ул. 60 лет Октября, 6 (Трудармейская сельская территория))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119 486,58</w:t>
            </w:r>
          </w:p>
        </w:tc>
      </w:tr>
      <w:tr>
        <w:trPr>
          <w:trHeight w:val="31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19999</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дотации бюджетам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4 962 400,00</w:t>
            </w:r>
          </w:p>
        </w:tc>
      </w:tr>
      <w:tr>
        <w:trPr>
          <w:trHeight w:val="315"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29999</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субсидии бюджетам муниципальных округов</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2 210 204,44</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30024</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Субвенции бюджетам муниципальных округов на выполнение передаваемых полномочий субъектов Российской Федерации</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1 028 700,00</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04050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0013</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безвозмездные поступления в бюджеты муниципальных округов (трудоустройство участников "Трудового отряда СУЭК")</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702 870,64</w:t>
            </w:r>
          </w:p>
        </w:tc>
      </w:tr>
      <w:tr>
        <w:trPr>
          <w:trHeight w:val="630" w:hRule="atLeast"/>
        </w:trPr>
        <w:tc>
          <w:tcPr>
            <w:tcW w:w="52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519"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9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04050</w:t>
            </w:r>
          </w:p>
        </w:tc>
        <w:tc>
          <w:tcPr>
            <w:tcW w:w="5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821"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0020</w:t>
            </w:r>
          </w:p>
        </w:tc>
        <w:tc>
          <w:tcPr>
            <w:tcW w:w="78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w:t>
            </w:r>
          </w:p>
        </w:tc>
        <w:tc>
          <w:tcPr>
            <w:tcW w:w="8082" w:type="dxa"/>
            <w:tcBorders>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безвозмездные поступления в бюджеты муниципальных округов (прочие целевые поступления)</w:t>
            </w:r>
          </w:p>
        </w:tc>
        <w:tc>
          <w:tcPr>
            <w:tcW w:w="257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147 022 641,11</w:t>
            </w:r>
          </w:p>
        </w:tc>
      </w:tr>
      <w:tr>
        <w:trPr>
          <w:trHeight w:val="315" w:hRule="atLeast"/>
        </w:trPr>
        <w:tc>
          <w:tcPr>
            <w:tcW w:w="12207" w:type="dxa"/>
            <w:gridSpan w:val="7"/>
            <w:tcBorders>
              <w:top w:val="single" w:sz="4" w:space="0" w:color="000000"/>
              <w:left w:val="single" w:sz="4" w:space="0" w:color="000000"/>
              <w:bottom w:val="single" w:sz="4" w:space="0" w:color="000000"/>
              <w:right w:val="single" w:sz="4" w:space="0" w:color="000000"/>
            </w:tcBorders>
            <w:shd w:color="auto" w:fill="auto" w:val="clear"/>
            <w:vAlign w:val="bottom"/>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ИТОГО</w:t>
            </w:r>
          </w:p>
        </w:tc>
        <w:tc>
          <w:tcPr>
            <w:tcW w:w="2577"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4 627 913 081,73</w:t>
            </w:r>
          </w:p>
        </w:tc>
      </w:tr>
    </w:tbl>
    <w:p>
      <w:pPr>
        <w:pStyle w:val="Normal"/>
        <w:tabs>
          <w:tab w:val="clear" w:pos="708"/>
          <w:tab w:val="left" w:pos="993" w:leader="none"/>
        </w:tabs>
        <w:spacing w:lineRule="auto" w:line="240" w:before="0" w:after="0"/>
        <w:ind w:firstLine="142" w:left="-14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93" w:leader="none"/>
        </w:tabs>
        <w:spacing w:lineRule="auto" w:line="240" w:before="0" w:after="0"/>
        <w:ind w:firstLine="142" w:left="-14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93" w:leader="none"/>
        </w:tabs>
        <w:spacing w:lineRule="auto" w:line="240" w:before="0" w:after="0"/>
        <w:ind w:firstLine="142" w:left="-14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tabs>
          <w:tab w:val="clear" w:pos="708"/>
          <w:tab w:val="left" w:pos="993" w:leader="none"/>
        </w:tabs>
        <w:spacing w:lineRule="auto" w:line="240" w:before="0" w:after="0"/>
        <w:ind w:firstLine="142" w:left="-14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Председатель Совета народных депутатов     </w:t>
      </w:r>
    </w:p>
    <w:p>
      <w:pPr>
        <w:pStyle w:val="Normal"/>
        <w:tabs>
          <w:tab w:val="clear" w:pos="708"/>
          <w:tab w:val="left" w:pos="993" w:leader="none"/>
          <w:tab w:val="left" w:pos="7726"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Прокопьевского муниципального  округа                                                                                                 И.А. Лошманкина</w:t>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r>
        <w:br w:type="page"/>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Приложение 2 к решению Совета народных депутатов Прокопьевского муниципального округа от                                2026 года</w:t>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sz w:val="28"/>
          <w:szCs w:val="24"/>
          <w:lang w:eastAsia="ru-RU"/>
        </w:rPr>
      </w:pPr>
      <w:r>
        <w:rPr>
          <w:rFonts w:eastAsia="Times New Roman" w:cs="Times New Roman" w:ascii="Times New Roman" w:hAnsi="Times New Roman"/>
          <w:b/>
          <w:sz w:val="28"/>
          <w:szCs w:val="24"/>
          <w:lang w:eastAsia="ru-RU"/>
        </w:rPr>
        <w:t xml:space="preserve">Показатели расходов бюджета Прокопьевского муниципального округа за 2025 год </w:t>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8"/>
          <w:szCs w:val="24"/>
          <w:lang w:eastAsia="ru-RU"/>
        </w:rPr>
        <w:t>по ведомственной структуре расходов</w:t>
      </w:r>
    </w:p>
    <w:tbl>
      <w:tblPr>
        <w:tblW w:w="14786" w:type="dxa"/>
        <w:jc w:val="left"/>
        <w:tblInd w:w="93" w:type="dxa"/>
        <w:tblLayout w:type="fixed"/>
        <w:tblCellMar>
          <w:top w:w="0" w:type="dxa"/>
          <w:left w:w="108" w:type="dxa"/>
          <w:bottom w:w="0" w:type="dxa"/>
          <w:right w:w="108" w:type="dxa"/>
        </w:tblCellMar>
        <w:tblLook w:noVBand="1" w:val="04a0" w:noHBand="0" w:lastColumn="0" w:firstColumn="1" w:lastRow="0" w:firstRow="1"/>
      </w:tblPr>
      <w:tblGrid>
        <w:gridCol w:w="520"/>
        <w:gridCol w:w="519"/>
        <w:gridCol w:w="940"/>
        <w:gridCol w:w="540"/>
        <w:gridCol w:w="821"/>
        <w:gridCol w:w="575"/>
        <w:gridCol w:w="3553"/>
        <w:gridCol w:w="1168"/>
        <w:gridCol w:w="631"/>
        <w:gridCol w:w="713"/>
        <w:gridCol w:w="1820"/>
        <w:gridCol w:w="407"/>
        <w:gridCol w:w="403"/>
        <w:gridCol w:w="2147"/>
        <w:gridCol w:w="27"/>
      </w:tblGrid>
      <w:tr>
        <w:trPr>
          <w:trHeight w:val="315" w:hRule="atLeast"/>
        </w:trPr>
        <w:tc>
          <w:tcPr>
            <w:tcW w:w="520"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19"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940"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40"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21"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575" w:type="dxa"/>
            <w:tcBorders/>
            <w:shd w:color="auto" w:fill="auto"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292" w:type="dxa"/>
            <w:gridSpan w:val="6"/>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577" w:type="dxa"/>
            <w:gridSpan w:val="3"/>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рублей</w:t>
            </w:r>
          </w:p>
        </w:tc>
      </w:tr>
      <w:tr>
        <w:trPr>
          <w:trHeight w:val="1155" w:hRule="atLeast"/>
        </w:trPr>
        <w:tc>
          <w:tcPr>
            <w:tcW w:w="7468" w:type="dxa"/>
            <w:gridSpan w:val="7"/>
            <w:tcBorders>
              <w:top w:val="single" w:sz="4" w:space="0" w:color="000000"/>
              <w:left w:val="single" w:sz="4" w:space="0" w:color="000000"/>
              <w:bottom w:val="single" w:sz="4" w:space="0" w:color="000000"/>
              <w:right w:val="single" w:sz="4" w:space="0" w:color="000000"/>
            </w:tcBorders>
            <w:shd w:color="FFFFCC" w:fill="FFFFFF" w:val="clear"/>
            <w:vAlign w:val="center"/>
          </w:tcPr>
          <w:p>
            <w:pPr>
              <w:pStyle w:val="Normal"/>
              <w:suppressAutoHyphens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Наименование</w:t>
            </w:r>
          </w:p>
        </w:tc>
        <w:tc>
          <w:tcPr>
            <w:tcW w:w="1168" w:type="dxa"/>
            <w:tcBorders>
              <w:top w:val="single" w:sz="4" w:space="0" w:color="000000"/>
              <w:bottom w:val="single" w:sz="4" w:space="0" w:color="000000"/>
              <w:right w:val="single" w:sz="4" w:space="0" w:color="000000"/>
            </w:tcBorders>
            <w:shd w:color="FFFFCC" w:fill="FFFFFF"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Ведомст-во</w:t>
            </w:r>
          </w:p>
        </w:tc>
        <w:tc>
          <w:tcPr>
            <w:tcW w:w="631" w:type="dxa"/>
            <w:tcBorders>
              <w:top w:val="single" w:sz="4" w:space="0" w:color="000000"/>
              <w:bottom w:val="single" w:sz="4" w:space="0" w:color="000000"/>
              <w:right w:val="single" w:sz="4" w:space="0" w:color="000000"/>
            </w:tcBorders>
            <w:shd w:color="FFFFCC" w:fill="FFFFFF"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Раз-дел</w:t>
            </w:r>
          </w:p>
        </w:tc>
        <w:tc>
          <w:tcPr>
            <w:tcW w:w="713" w:type="dxa"/>
            <w:tcBorders>
              <w:top w:val="single" w:sz="4" w:space="0" w:color="000000"/>
              <w:bottom w:val="single" w:sz="4" w:space="0" w:color="000000"/>
              <w:right w:val="single" w:sz="4" w:space="0" w:color="000000"/>
            </w:tcBorders>
            <w:shd w:color="FFFFCC" w:fill="FFFFFF"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Под-раз-дел</w:t>
            </w:r>
          </w:p>
        </w:tc>
        <w:tc>
          <w:tcPr>
            <w:tcW w:w="1820" w:type="dxa"/>
            <w:tcBorders>
              <w:top w:val="single" w:sz="4" w:space="0" w:color="000000"/>
              <w:bottom w:val="single" w:sz="4" w:space="0" w:color="000000"/>
              <w:right w:val="single" w:sz="4" w:space="0" w:color="000000"/>
            </w:tcBorders>
            <w:shd w:color="FFFFCC" w:fill="FFFFFF"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Целевая статья</w:t>
            </w:r>
          </w:p>
        </w:tc>
        <w:tc>
          <w:tcPr>
            <w:tcW w:w="810" w:type="dxa"/>
            <w:gridSpan w:val="2"/>
            <w:tcBorders>
              <w:top w:val="single" w:sz="4" w:space="0" w:color="000000"/>
              <w:bottom w:val="single" w:sz="4" w:space="0" w:color="000000"/>
              <w:right w:val="single" w:sz="4" w:space="0" w:color="000000"/>
            </w:tcBorders>
            <w:shd w:color="FFFFCC" w:fill="FFFFFF"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Вид рас-ходов</w:t>
            </w:r>
          </w:p>
        </w:tc>
        <w:tc>
          <w:tcPr>
            <w:tcW w:w="2147" w:type="dxa"/>
            <w:tcBorders>
              <w:top w:val="single" w:sz="4" w:space="0" w:color="000000"/>
              <w:bottom w:val="single" w:sz="4" w:space="0" w:color="000000"/>
              <w:right w:val="single" w:sz="4" w:space="0" w:color="000000"/>
            </w:tcBorders>
            <w:shd w:color="FFFFCC" w:fill="FFFFFF"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2025</w:t>
            </w:r>
          </w:p>
        </w:tc>
        <w:tc>
          <w:tcPr>
            <w:tcW w:w="27" w:type="dxa"/>
            <w:tcBorders/>
          </w:tcPr>
          <w:p>
            <w:pPr>
              <w:pStyle w:val="Normal"/>
              <w:spacing w:before="0" w:after="200"/>
              <w:rPr/>
            </w:pPr>
            <w:r>
              <w:rPr/>
            </w:r>
          </w:p>
        </w:tc>
      </w:tr>
      <w:tr>
        <w:trPr>
          <w:trHeight w:val="37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r>
          </w:p>
        </w:tc>
        <w:tc>
          <w:tcPr>
            <w:tcW w:w="27" w:type="dxa"/>
            <w:tcBorders/>
          </w:tcPr>
          <w:p>
            <w:pPr>
              <w:pStyle w:val="Normal"/>
              <w:spacing w:before="0" w:after="200"/>
              <w:rPr/>
            </w:pPr>
            <w:r>
              <w:rPr/>
            </w:r>
          </w:p>
        </w:tc>
      </w:tr>
      <w:tr>
        <w:trPr>
          <w:trHeight w:val="30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Администрация Прокопьевского муниципального округа</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1 504 621 822,25</w:t>
            </w:r>
          </w:p>
        </w:tc>
        <w:tc>
          <w:tcPr>
            <w:tcW w:w="27" w:type="dxa"/>
            <w:tcBorders/>
          </w:tcPr>
          <w:p>
            <w:pPr>
              <w:pStyle w:val="Normal"/>
              <w:spacing w:before="0" w:after="200"/>
              <w:rPr/>
            </w:pPr>
            <w:r>
              <w:rPr/>
            </w:r>
          </w:p>
        </w:tc>
      </w:tr>
      <w:tr>
        <w:trPr>
          <w:trHeight w:val="133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Глава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02 1 00 19010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4 009 933,94</w:t>
            </w:r>
          </w:p>
        </w:tc>
        <w:tc>
          <w:tcPr>
            <w:tcW w:w="27" w:type="dxa"/>
            <w:tcBorders/>
          </w:tcPr>
          <w:p>
            <w:pPr>
              <w:pStyle w:val="Normal"/>
              <w:spacing w:before="0" w:after="200"/>
              <w:rPr/>
            </w:pPr>
            <w:r>
              <w:rPr/>
            </w:r>
          </w:p>
        </w:tc>
      </w:tr>
      <w:tr>
        <w:trPr>
          <w:trHeight w:val="139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02 1 00 19040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95 070 254,57</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02 1 00 19040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17 948 797,95</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02 1 00 19040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667 372,98</w:t>
            </w:r>
          </w:p>
        </w:tc>
        <w:tc>
          <w:tcPr>
            <w:tcW w:w="27" w:type="dxa"/>
            <w:tcBorders/>
          </w:tcPr>
          <w:p>
            <w:pPr>
              <w:pStyle w:val="Normal"/>
              <w:spacing w:before="0" w:after="200"/>
              <w:rPr/>
            </w:pPr>
            <w:r>
              <w:rPr/>
            </w:r>
          </w:p>
        </w:tc>
      </w:tr>
      <w:tr>
        <w:trPr>
          <w:trHeight w:val="71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02 2 00 19040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291 556,66</w:t>
            </w:r>
          </w:p>
        </w:tc>
        <w:tc>
          <w:tcPr>
            <w:tcW w:w="27" w:type="dxa"/>
            <w:tcBorders/>
          </w:tcPr>
          <w:p>
            <w:pPr>
              <w:pStyle w:val="Normal"/>
              <w:spacing w:before="0" w:after="200"/>
              <w:rPr/>
            </w:pPr>
            <w:r>
              <w:rPr/>
            </w:r>
          </w:p>
        </w:tc>
      </w:tr>
      <w:tr>
        <w:trPr>
          <w:trHeight w:val="59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02 1 00 51200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3 800,00</w:t>
            </w:r>
          </w:p>
        </w:tc>
        <w:tc>
          <w:tcPr>
            <w:tcW w:w="27" w:type="dxa"/>
            <w:tcBorders/>
          </w:tcPr>
          <w:p>
            <w:pPr>
              <w:pStyle w:val="Normal"/>
              <w:spacing w:before="0" w:after="200"/>
              <w:rPr/>
            </w:pPr>
            <w:r>
              <w:rPr/>
            </w:r>
          </w:p>
        </w:tc>
      </w:tr>
      <w:tr>
        <w:trPr>
          <w:trHeight w:val="87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Проведение выборов в представительный орган муниципального образования "Прокопьевский муниципальный округ Кемеровской области - Кузбасса"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820" w:type="dxa"/>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90 0 00 19100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1 385 620,60</w:t>
            </w:r>
          </w:p>
        </w:tc>
        <w:tc>
          <w:tcPr>
            <w:tcW w:w="27" w:type="dxa"/>
            <w:tcBorders/>
          </w:tcPr>
          <w:p>
            <w:pPr>
              <w:pStyle w:val="Normal"/>
              <w:spacing w:before="0" w:after="200"/>
              <w:rPr/>
            </w:pPr>
            <w:r>
              <w:rPr/>
            </w:r>
          </w:p>
        </w:tc>
      </w:tr>
      <w:tr>
        <w:trPr>
          <w:trHeight w:val="853"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Прочие перечисления по муниципальным обязательствам муниципального образования Прокопьевский муниципальный округ»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02 1 00 19110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580 000,00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Создание и функционирование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02 1 00 71960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627 100,00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Осуществление государственных полномочий Кемеровской области - Кузбасса по хранению, комплектованию, учету и использованию архивных документов, относящихся к собственности Кемеровской области - Кузбасса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02 1 00 79050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11 200,00</w:t>
            </w:r>
          </w:p>
        </w:tc>
        <w:tc>
          <w:tcPr>
            <w:tcW w:w="27" w:type="dxa"/>
            <w:tcBorders/>
          </w:tcPr>
          <w:p>
            <w:pPr>
              <w:pStyle w:val="Normal"/>
              <w:spacing w:before="0" w:after="200"/>
              <w:rPr/>
            </w:pPr>
            <w:r>
              <w:rPr/>
            </w:r>
          </w:p>
        </w:tc>
      </w:tr>
      <w:tr>
        <w:trPr>
          <w:trHeight w:val="608"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Финансовое обеспечение наградной системы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02 3 00 10660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17 390 676,00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Создание и функционирование административных комиссий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14 2 00 79060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86 000,00</w:t>
            </w:r>
          </w:p>
        </w:tc>
        <w:tc>
          <w:tcPr>
            <w:tcW w:w="27" w:type="dxa"/>
            <w:tcBorders/>
          </w:tcPr>
          <w:p>
            <w:pPr>
              <w:pStyle w:val="Normal"/>
              <w:spacing w:before="0" w:after="200"/>
              <w:rPr/>
            </w:pPr>
            <w:r>
              <w:rPr/>
            </w:r>
          </w:p>
        </w:tc>
      </w:tr>
      <w:tr>
        <w:trPr>
          <w:trHeight w:val="157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Осуществление первичного воинского учета органами местного самоуправления поселений, муниципальных и городских округов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02 1 00 51180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4 175 460,00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Осуществление первичного воинского учета органами местного самоуправления поселений, муниципальных и городских округов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02 1 00 51180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24 240,00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гражданской обороне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16 0 00 10570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3 658 713,79</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предупреждению и ликвидации ЧС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16 0 00 10610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105 951,78</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Модернизация муниципальной автоматизированной системы централизованного оповещения населения Кемеровской области - Кузбасса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0 00 S3780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15 320 000,00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предупреждению и ликвидации ЧС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16 0 00 10610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11 656 569,08</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предупреждению и ликвидации ЧС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16 0 00 10610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21 400,00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совершенствованию ЕДДС округа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16 0 00 10630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553 989,66</w:t>
            </w:r>
          </w:p>
        </w:tc>
        <w:tc>
          <w:tcPr>
            <w:tcW w:w="27" w:type="dxa"/>
            <w:tcBorders/>
          </w:tcPr>
          <w:p>
            <w:pPr>
              <w:pStyle w:val="Normal"/>
              <w:spacing w:before="0" w:after="200"/>
              <w:rPr/>
            </w:pPr>
            <w:r>
              <w:rPr/>
            </w:r>
          </w:p>
        </w:tc>
      </w:tr>
      <w:tr>
        <w:trPr>
          <w:trHeight w:val="31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Материально-техническое обеспечение деятельности народных дружин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14 1 00 17040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31 200,00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совершенствованию ЕДДС округа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16 0 00 10630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2 180 566,14</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 горячее водоснабжение)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4 00 9Т011</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197 500 370,26</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(твердое топливо)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4 00 9Т013</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28 300 100,17</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Стимулирование увеличения производства сельскохозяйственной продукции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08 1 00 11090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12 000 000,00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Возмещение части затрат сельскохозяйственным товаропроизводителям на производство молока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08 1 00 11210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14 232 468,25</w:t>
            </w:r>
          </w:p>
        </w:tc>
        <w:tc>
          <w:tcPr>
            <w:tcW w:w="27" w:type="dxa"/>
            <w:tcBorders/>
          </w:tcPr>
          <w:p>
            <w:pPr>
              <w:pStyle w:val="Normal"/>
              <w:spacing w:before="0" w:after="200"/>
              <w:rPr/>
            </w:pPr>
            <w:r>
              <w:rPr/>
            </w:r>
          </w:p>
        </w:tc>
      </w:tr>
      <w:tr>
        <w:trPr>
          <w:trHeight w:val="589"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Стимулирование и поощрение по итогам  работы в агропромышленном комплексе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08 2 00 11080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28 735,00</w:t>
            </w:r>
          </w:p>
        </w:tc>
        <w:tc>
          <w:tcPr>
            <w:tcW w:w="27" w:type="dxa"/>
            <w:tcBorders/>
          </w:tcPr>
          <w:p>
            <w:pPr>
              <w:pStyle w:val="Normal"/>
              <w:spacing w:before="0" w:after="200"/>
              <w:rPr/>
            </w:pPr>
            <w:r>
              <w:rPr/>
            </w:r>
          </w:p>
        </w:tc>
      </w:tr>
      <w:tr>
        <w:trPr>
          <w:trHeight w:val="852"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участия сельхозтоваропроизводителей в выставках-ярмарках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08 2 00 11100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22 500,00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предупреждению и ликвидации ЧС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16 0 00 10610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360 260,00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14 1 00 16010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1 741 128,97</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Проектирование, строительство, реконструкция, капитальный ремонт, ремонт автомобильных дорог общего пользования местного значения и искусственных дорожных сооружений на них (за исключением бюджетных ассигнований дорожного фонда)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06 0 00 10110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26 146 538,36</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Содержание автомобильных дорог общего пользования местного значения и искусственных дорожных сооружений на них (за исключением бюджетных ассигнований дорожного фонда)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06 0 00 10120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54 870 431,76</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Содержание автомобильных дорог общего пользования местного значения и искусственных дорожных сооружений на них за счет бюджетных ассигнований дорожного фонда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 0 00 9Д120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19 560 480,11</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транспортной безопасности объектов дорожного хозяйства за счет бюджетных ассигнований дорожного фонда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 0 00 9Д410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3 766 817,66</w:t>
            </w:r>
          </w:p>
        </w:tc>
        <w:tc>
          <w:tcPr>
            <w:tcW w:w="27" w:type="dxa"/>
            <w:tcBorders/>
          </w:tcPr>
          <w:p>
            <w:pPr>
              <w:pStyle w:val="Normal"/>
              <w:spacing w:before="0" w:after="200"/>
              <w:rPr/>
            </w:pPr>
            <w:r>
              <w:rPr/>
            </w:r>
          </w:p>
        </w:tc>
      </w:tr>
      <w:tr>
        <w:trPr>
          <w:trHeight w:val="1124"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дорожной деятельности в отношении автомобильных дорог общего пользования местного значения и искусственных дорожных сооружений на них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 0 00 SД100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57 547 500,00</w:t>
            </w:r>
          </w:p>
        </w:tc>
        <w:tc>
          <w:tcPr>
            <w:tcW w:w="27" w:type="dxa"/>
            <w:tcBorders/>
          </w:tcPr>
          <w:p>
            <w:pPr>
              <w:pStyle w:val="Normal"/>
              <w:spacing w:before="0" w:after="200"/>
              <w:rPr/>
            </w:pPr>
            <w:r>
              <w:rPr/>
            </w:r>
          </w:p>
        </w:tc>
      </w:tr>
      <w:tr>
        <w:trPr>
          <w:trHeight w:val="1139"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Субсидирование части затрат, произведенных субъектами малого и среднего предпринимательства по доставке социально-значимых товаров в отдаленные, малонаселённые пункты Прокопьевского муниципального округа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12 0 00 11280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3 565 000,00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Подготовка документов территориального планирования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14 1 00 10910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942 344,00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благоустройства и озеленения. Поддержание санитарного состояния территорий населенных пунктов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14 1 00 17010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45 900,64</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Ежемесячные взносы на формирование фонда капитального ремонта общего имущества в многоквартирных домах в части муниципального жилищного фонда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14 1 00 12100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15 144,44</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Строительство, реконструкция, модернизация и ремонт объектов теплоснабжения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01 1 00 10270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210 000,00</w:t>
            </w:r>
          </w:p>
        </w:tc>
        <w:tc>
          <w:tcPr>
            <w:tcW w:w="27" w:type="dxa"/>
            <w:tcBorders/>
          </w:tcPr>
          <w:p>
            <w:pPr>
              <w:pStyle w:val="Normal"/>
              <w:spacing w:before="0" w:after="200"/>
              <w:rPr/>
            </w:pPr>
            <w:r>
              <w:rPr/>
            </w:r>
          </w:p>
        </w:tc>
      </w:tr>
      <w:tr>
        <w:trPr>
          <w:trHeight w:val="8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Строительство, реконструкция, модернизация и ремонт объектов водоотведения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01 1 00 10290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2 723 497,54</w:t>
            </w:r>
          </w:p>
        </w:tc>
        <w:tc>
          <w:tcPr>
            <w:tcW w:w="27" w:type="dxa"/>
            <w:tcBorders/>
          </w:tcPr>
          <w:p>
            <w:pPr>
              <w:pStyle w:val="Normal"/>
              <w:spacing w:before="0" w:after="200"/>
              <w:rPr/>
            </w:pPr>
            <w:r>
              <w:rPr/>
            </w:r>
          </w:p>
        </w:tc>
      </w:tr>
      <w:tr>
        <w:trPr>
          <w:trHeight w:val="842"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Строительство, реконструкция и капитальный ремонт объектов коммунальной инфраструктуры  (капитальные вложения в объекты государственной (муниципальной) собственности)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1 00 S1170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206 165 740,45</w:t>
            </w:r>
          </w:p>
        </w:tc>
        <w:tc>
          <w:tcPr>
            <w:tcW w:w="27" w:type="dxa"/>
            <w:tcBorders/>
          </w:tcPr>
          <w:p>
            <w:pPr>
              <w:pStyle w:val="Normal"/>
              <w:spacing w:before="0" w:after="200"/>
              <w:rPr/>
            </w:pPr>
            <w:r>
              <w:rPr/>
            </w:r>
          </w:p>
        </w:tc>
      </w:tr>
      <w:tr>
        <w:trPr>
          <w:trHeight w:val="826"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1 И3 51540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96 469 220,00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 в сфере энергосбережения и повышения энергоэффективности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01 3 00 10940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792 694,86</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(холодное водоснабжение, водоотведение)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01 4 00 72572</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44 536 174,59</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Компенсация (возмещение) выпадающих доходов организаций, осуществляющих холодное водоснабжение и (или) водоотведение,  реализацию сжиженного газа, возникающих при применении льготных цен (тарифов)  (сжиженный газ)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01 4 00 72574</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color w:val="FF0000"/>
                <w:sz w:val="24"/>
                <w:szCs w:val="24"/>
                <w:lang w:eastAsia="ru-RU"/>
              </w:rPr>
            </w:pPr>
            <w:r>
              <w:rPr>
                <w:rFonts w:eastAsia="Times New Roman" w:cs="Times New Roman" w:ascii="Times New Roman" w:hAnsi="Times New Roman"/>
                <w:sz w:val="24"/>
                <w:szCs w:val="24"/>
                <w:lang w:eastAsia="ru-RU"/>
              </w:rPr>
              <w:t>1 475 002,80</w:t>
            </w:r>
          </w:p>
        </w:tc>
        <w:tc>
          <w:tcPr>
            <w:tcW w:w="27" w:type="dxa"/>
            <w:tcBorders/>
          </w:tcPr>
          <w:p>
            <w:pPr>
              <w:pStyle w:val="Normal"/>
              <w:spacing w:before="0" w:after="200"/>
              <w:rPr/>
            </w:pPr>
            <w:r>
              <w:rPr/>
            </w:r>
          </w:p>
        </w:tc>
      </w:tr>
      <w:tr>
        <w:trPr>
          <w:trHeight w:val="62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Финансовое обеспечение наградной системы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02 3 00 10660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2 263 195,00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освещения, содержание объектов уличного освещения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06 0 00 17030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38 244 962,28</w:t>
            </w:r>
          </w:p>
        </w:tc>
        <w:tc>
          <w:tcPr>
            <w:tcW w:w="27" w:type="dxa"/>
            <w:tcBorders/>
          </w:tcPr>
          <w:p>
            <w:pPr>
              <w:pStyle w:val="Normal"/>
              <w:spacing w:before="0" w:after="200"/>
              <w:rPr/>
            </w:pPr>
            <w:r>
              <w:rPr/>
            </w:r>
          </w:p>
        </w:tc>
      </w:tr>
      <w:tr>
        <w:trPr>
          <w:trHeight w:val="74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сбора, вывоза и утилизации отходов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14 1 00 10930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3 244 091,03</w:t>
            </w:r>
          </w:p>
        </w:tc>
        <w:tc>
          <w:tcPr>
            <w:tcW w:w="27" w:type="dxa"/>
            <w:tcBorders/>
          </w:tcPr>
          <w:p>
            <w:pPr>
              <w:pStyle w:val="Normal"/>
              <w:spacing w:before="0" w:after="200"/>
              <w:rPr/>
            </w:pPr>
            <w:r>
              <w:rPr/>
            </w:r>
          </w:p>
        </w:tc>
      </w:tr>
      <w:tr>
        <w:trPr>
          <w:trHeight w:val="157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благоустройства и озеленения. Поддержание санитарного состояния территорий населенных пунктов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14 1 00 17010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51 782 032,30</w:t>
            </w:r>
          </w:p>
        </w:tc>
        <w:tc>
          <w:tcPr>
            <w:tcW w:w="27" w:type="dxa"/>
            <w:tcBorders/>
          </w:tcPr>
          <w:p>
            <w:pPr>
              <w:pStyle w:val="Normal"/>
              <w:spacing w:before="0" w:after="200"/>
              <w:rPr/>
            </w:pPr>
            <w:r>
              <w:rPr/>
            </w:r>
          </w:p>
        </w:tc>
      </w:tr>
      <w:tr>
        <w:trPr>
          <w:trHeight w:val="84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благоустройства и озеленения. Поддержание санитарного состояния территорий населенных пунктов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14 1 00 17010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15 441 449,28</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Содержание мест захоронения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14 1 00 17020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6 553 105,55</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мероприятий по оборудованию и содержанию мест отдыха детей и взрослого населения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14 1 00 17050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1 620 761,01</w:t>
            </w:r>
          </w:p>
        </w:tc>
        <w:tc>
          <w:tcPr>
            <w:tcW w:w="27" w:type="dxa"/>
            <w:tcBorders/>
          </w:tcPr>
          <w:p>
            <w:pPr>
              <w:pStyle w:val="Normal"/>
              <w:spacing w:before="0" w:after="200"/>
              <w:rPr/>
            </w:pPr>
            <w:r>
              <w:rPr/>
            </w:r>
          </w:p>
        </w:tc>
      </w:tr>
      <w:tr>
        <w:trPr>
          <w:trHeight w:val="44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14 1 00 70860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624 344,55</w:t>
            </w:r>
          </w:p>
        </w:tc>
        <w:tc>
          <w:tcPr>
            <w:tcW w:w="27" w:type="dxa"/>
            <w:tcBorders/>
          </w:tcPr>
          <w:p>
            <w:pPr>
              <w:pStyle w:val="Normal"/>
              <w:spacing w:before="0" w:after="200"/>
              <w:rPr/>
            </w:pPr>
            <w:r>
              <w:rPr/>
            </w:r>
          </w:p>
        </w:tc>
      </w:tr>
      <w:tr>
        <w:trPr>
          <w:trHeight w:val="841"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благоустройства и озеленения. Поддержание санитарного состояния территорий населенных пунктов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0П 17010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4 269 955,02</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И4 55550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20 568 011,86</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14 2 00 17060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100 078 934,97</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14 2 00 17060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27 548 636,82</w:t>
            </w:r>
          </w:p>
        </w:tc>
        <w:tc>
          <w:tcPr>
            <w:tcW w:w="27" w:type="dxa"/>
            <w:tcBorders/>
          </w:tcPr>
          <w:p>
            <w:pPr>
              <w:pStyle w:val="Normal"/>
              <w:spacing w:before="0" w:after="200"/>
              <w:rPr/>
            </w:pPr>
            <w:r>
              <w:rPr/>
            </w:r>
          </w:p>
        </w:tc>
      </w:tr>
      <w:tr>
        <w:trPr>
          <w:trHeight w:val="644"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14 2 00 17060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255 029,40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проектов инициативного бюджетирования «Твой Кузбасс - твоя инициатива» (Благоустройство территории кладбища (текущий ремонт), расположенного по адресу: 653208, Кемеровская область - Кузбасс, Прокопьевский муниципальный округ, окраина д. Малая Талда, (Большеталдинская сельская территория)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0 00 S3421</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639 882,24</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проектов инициативного бюджетирования «Твой Кузбасс - твоя инициатива» (Благоустройство территории кладбища (текущий ремонт), расположенного по адресу: 653202, Кемеровская область-Кузбасс, Прокопьевский муниципальный округ, окраина п. Ивановка, (Бурлаковская сельская территория)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0 00 S3422</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493 074,55</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проектов инициативного бюджетирования «Твой Кузбасс - твоя инициатива» (Благоустройство территории кладбища (текущий ремонт), расположенного по адресу: 653260, Кемеровская область-Кузбасс, Прокопьевский муниципальный округ, окраина с. Оселки (Каменно-Ключевская сельская территория)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0 00 S3423</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482 795,08</w:t>
            </w:r>
          </w:p>
        </w:tc>
        <w:tc>
          <w:tcPr>
            <w:tcW w:w="27" w:type="dxa"/>
            <w:tcBorders/>
          </w:tcPr>
          <w:p>
            <w:pPr>
              <w:pStyle w:val="Normal"/>
              <w:spacing w:before="0" w:after="200"/>
              <w:rPr/>
            </w:pPr>
            <w:r>
              <w:rPr/>
            </w:r>
          </w:p>
        </w:tc>
      </w:tr>
      <w:tr>
        <w:trPr>
          <w:trHeight w:val="157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проектов инициативного бюджетирования «Твой Кузбасс - твоя инициатива» (Благоустройство территории для отдыха (текущий ремонт), расположенной по адресу: 653250, Кемеровская область-Кузбасс, Прокопьевский муниципальный округ, п. Трудармейский, район ул. 60 лет Октября, 6 (Трудармейская сельская территория)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0 00 S3425</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1 194 865,93</w:t>
            </w:r>
          </w:p>
        </w:tc>
        <w:tc>
          <w:tcPr>
            <w:tcW w:w="27" w:type="dxa"/>
            <w:tcBorders/>
          </w:tcPr>
          <w:p>
            <w:pPr>
              <w:pStyle w:val="Normal"/>
              <w:spacing w:before="0" w:after="200"/>
              <w:rPr/>
            </w:pPr>
            <w:r>
              <w:rPr/>
            </w:r>
          </w:p>
        </w:tc>
      </w:tr>
      <w:tr>
        <w:trPr>
          <w:trHeight w:val="1463"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за счет доходов от оказания платных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01 5 00 10030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17 321 200,00</w:t>
            </w:r>
          </w:p>
        </w:tc>
        <w:tc>
          <w:tcPr>
            <w:tcW w:w="27" w:type="dxa"/>
            <w:tcBorders/>
          </w:tcPr>
          <w:p>
            <w:pPr>
              <w:pStyle w:val="Normal"/>
              <w:spacing w:before="0" w:after="200"/>
              <w:rPr/>
            </w:pPr>
            <w:r>
              <w:rPr/>
            </w:r>
          </w:p>
        </w:tc>
      </w:tr>
      <w:tr>
        <w:trPr>
          <w:trHeight w:val="988"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за счет доходов от оказания платных услуг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01 5 00 10030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4 442 567,44</w:t>
            </w:r>
          </w:p>
        </w:tc>
        <w:tc>
          <w:tcPr>
            <w:tcW w:w="27" w:type="dxa"/>
            <w:tcBorders/>
          </w:tcPr>
          <w:p>
            <w:pPr>
              <w:pStyle w:val="Normal"/>
              <w:spacing w:before="0" w:after="200"/>
              <w:rPr/>
            </w:pPr>
            <w:r>
              <w:rPr/>
            </w:r>
          </w:p>
        </w:tc>
      </w:tr>
      <w:tr>
        <w:trPr>
          <w:trHeight w:val="1683"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(оказание услуг) муниципальных учреждений в области жилищно-коммунального хозяйства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01 5 00 10920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120 502 109,92</w:t>
            </w:r>
          </w:p>
        </w:tc>
        <w:tc>
          <w:tcPr>
            <w:tcW w:w="27" w:type="dxa"/>
            <w:tcBorders/>
          </w:tcPr>
          <w:p>
            <w:pPr>
              <w:pStyle w:val="Normal"/>
              <w:spacing w:before="0" w:after="200"/>
              <w:rPr/>
            </w:pPr>
            <w:r>
              <w:rPr/>
            </w:r>
          </w:p>
        </w:tc>
      </w:tr>
      <w:tr>
        <w:trPr>
          <w:trHeight w:val="1112"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(оказание услуг) муниципальных учреждений в области жилищно-коммунального хозяйства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01 5 00 10920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86 898 327,09</w:t>
            </w:r>
          </w:p>
        </w:tc>
        <w:tc>
          <w:tcPr>
            <w:tcW w:w="27" w:type="dxa"/>
            <w:tcBorders/>
          </w:tcPr>
          <w:p>
            <w:pPr>
              <w:pStyle w:val="Normal"/>
              <w:spacing w:before="0" w:after="200"/>
              <w:rPr/>
            </w:pPr>
            <w:r>
              <w:rPr/>
            </w:r>
          </w:p>
        </w:tc>
      </w:tr>
      <w:tr>
        <w:trPr>
          <w:trHeight w:val="85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(оказание услуг) муниципальных учреждений в области жилищно-коммунального хозяйства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01 5 00 10920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1 081 896,22</w:t>
            </w:r>
          </w:p>
        </w:tc>
        <w:tc>
          <w:tcPr>
            <w:tcW w:w="27" w:type="dxa"/>
            <w:tcBorders/>
          </w:tcPr>
          <w:p>
            <w:pPr>
              <w:pStyle w:val="Normal"/>
              <w:spacing w:before="0" w:after="200"/>
              <w:rPr/>
            </w:pPr>
            <w:r>
              <w:rPr/>
            </w:r>
          </w:p>
        </w:tc>
      </w:tr>
      <w:tr>
        <w:trPr>
          <w:trHeight w:val="928"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(оказание услуг) муниципальных учреждений в области жилищно-коммунального хозяйства (исполнение судебных актов)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01 5 00 10929</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33 672,00</w:t>
            </w:r>
          </w:p>
        </w:tc>
        <w:tc>
          <w:tcPr>
            <w:tcW w:w="27" w:type="dxa"/>
            <w:tcBorders/>
          </w:tcPr>
          <w:p>
            <w:pPr>
              <w:pStyle w:val="Normal"/>
              <w:spacing w:before="0" w:after="200"/>
              <w:rPr/>
            </w:pPr>
            <w:r>
              <w:rPr/>
            </w:r>
          </w:p>
        </w:tc>
      </w:tr>
      <w:tr>
        <w:trPr>
          <w:trHeight w:val="714"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Финансовое обеспечение наградной системы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02 3 00 10660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2 157 448,00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сбора, вывоза и утилизации отходов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14 1 00 10930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679 744,00</w:t>
            </w:r>
          </w:p>
        </w:tc>
        <w:tc>
          <w:tcPr>
            <w:tcW w:w="27" w:type="dxa"/>
            <w:tcBorders/>
          </w:tcPr>
          <w:p>
            <w:pPr>
              <w:pStyle w:val="Normal"/>
              <w:spacing w:before="0" w:after="200"/>
              <w:rPr/>
            </w:pPr>
            <w:r>
              <w:rPr/>
            </w:r>
          </w:p>
        </w:tc>
      </w:tr>
      <w:tr>
        <w:trPr>
          <w:trHeight w:val="983"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Строительство, реконструкция, модернизация и ремонт объектов теплоснабжения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1 0П 10270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150 000,00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Природоохранные мероприятия, реализуемые муниципальными образованиями (природоохранные мероприятия) (капитальные вложения в объекты государственной (муниципальной) собственности)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1 0П S079П</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color w:val="000000"/>
                <w:sz w:val="24"/>
                <w:szCs w:val="24"/>
                <w:lang w:eastAsia="ru-RU"/>
              </w:rPr>
              <w:t>7 658 440,00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Ликвидация объекта НВОС "Земельный участок с кадастровым номером 42:10:0203002:168, предоставленный под полигон твердых бытовых отходов"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1 0П 10300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800 000,00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в области молодежной политики и оздоровления детей, развития физической 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13 1 00 10260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2 223 207,61</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в области молодежной политики и оздоровления детей, развития физической культуры и спорта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13 1 00 10260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sz w:val="24"/>
                <w:szCs w:val="24"/>
                <w:lang w:eastAsia="ru-RU"/>
              </w:rPr>
              <w:t>32 287,00</w:t>
            </w:r>
          </w:p>
        </w:tc>
        <w:tc>
          <w:tcPr>
            <w:tcW w:w="27" w:type="dxa"/>
            <w:tcBorders/>
          </w:tcPr>
          <w:p>
            <w:pPr>
              <w:pStyle w:val="Normal"/>
              <w:spacing w:before="0" w:after="200"/>
              <w:rPr/>
            </w:pPr>
            <w:r>
              <w:rPr/>
            </w:r>
          </w:p>
        </w:tc>
      </w:tr>
      <w:tr>
        <w:trPr>
          <w:trHeight w:val="157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программ и мероприятий по работе с детьми и молодежью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1 00 S1360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1 267 579,95</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Единовременная выплата специалистам, прибывшим (переехавшим) на работу в Прокопьевский муниципальный округ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11 0 00 85120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1 149 426,00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Меры социальной поддержки молодых специалистов, работающих в учреждениях образования, культуры, здравоохранения, расположенных и осуществляющих свою деятельность в границах Прокопьевского муниципального округа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11 0 00 85130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241 380,00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мероприятий по обеспечению жильем молодых семей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03 0 00 14970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9 709,42</w:t>
            </w:r>
          </w:p>
        </w:tc>
        <w:tc>
          <w:tcPr>
            <w:tcW w:w="27" w:type="dxa"/>
            <w:tcBorders/>
          </w:tcPr>
          <w:p>
            <w:pPr>
              <w:pStyle w:val="Normal"/>
              <w:spacing w:before="0" w:after="200"/>
              <w:rPr/>
            </w:pPr>
            <w:r>
              <w:rPr/>
            </w:r>
          </w:p>
        </w:tc>
      </w:tr>
      <w:tr>
        <w:trPr>
          <w:trHeight w:val="632"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мероприятий по обеспечению жильем молодых семей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 0 00 L4970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color w:val="FF0000"/>
                <w:sz w:val="24"/>
                <w:szCs w:val="24"/>
                <w:lang w:eastAsia="ru-RU"/>
              </w:rPr>
            </w:pPr>
            <w:r>
              <w:rPr>
                <w:rFonts w:eastAsia="Times New Roman" w:cs="Times New Roman" w:ascii="Times New Roman" w:hAnsi="Times New Roman"/>
                <w:sz w:val="24"/>
                <w:szCs w:val="24"/>
                <w:lang w:eastAsia="ru-RU"/>
              </w:rPr>
              <w:t>21 419 820,38</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(оказание услуг) муниципальных учреждений, функционирующих в сфере средств массовой информации, периодической печати и издательства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02 1 00 10820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12 205 700,00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Процентные платежи по муниципальному долгу Прокопьевского муниципального округа (обслуживание государственного (муниципального) долга)</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900</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17 0 00 19130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223 727,34</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Совет народных депутатов Прокопьевского муниципального округа</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902</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5 832 863,84</w:t>
            </w:r>
          </w:p>
        </w:tc>
        <w:tc>
          <w:tcPr>
            <w:tcW w:w="27" w:type="dxa"/>
            <w:tcBorders/>
          </w:tcPr>
          <w:p>
            <w:pPr>
              <w:pStyle w:val="Normal"/>
              <w:spacing w:before="0" w:after="200"/>
              <w:rPr/>
            </w:pPr>
            <w:r>
              <w:rPr/>
            </w:r>
          </w:p>
        </w:tc>
      </w:tr>
      <w:tr>
        <w:trPr>
          <w:trHeight w:val="157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Председатель представительного органа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902</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90 0 00 19020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2 577 567,42</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902</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90 0 00 19040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1 962 192,97</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902</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90 0 00 19040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140 413,00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Заместитель председателя представительного органа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902</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90 0 00 19060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1 152 690,45</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Контрольно-счетная палата Прокопьевского муниципального округа</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903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3 182 429,87</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Председатель контрольно-счетной палаты муниципального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90 0 00 19030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1 345 039,14</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90 0 00 19040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1 444 446,11</w:t>
            </w:r>
          </w:p>
        </w:tc>
        <w:tc>
          <w:tcPr>
            <w:tcW w:w="27" w:type="dxa"/>
            <w:tcBorders/>
          </w:tcPr>
          <w:p>
            <w:pPr>
              <w:pStyle w:val="Normal"/>
              <w:spacing w:before="0" w:after="200"/>
              <w:rPr/>
            </w:pPr>
            <w:r>
              <w:rPr/>
            </w:r>
          </w:p>
        </w:tc>
      </w:tr>
      <w:tr>
        <w:trPr>
          <w:trHeight w:val="31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903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90 0 00 19040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392 944,62</w:t>
            </w:r>
          </w:p>
        </w:tc>
        <w:tc>
          <w:tcPr>
            <w:tcW w:w="27" w:type="dxa"/>
            <w:tcBorders/>
          </w:tcPr>
          <w:p>
            <w:pPr>
              <w:pStyle w:val="Normal"/>
              <w:spacing w:before="0" w:after="200"/>
              <w:rPr/>
            </w:pPr>
            <w:r>
              <w:rPr/>
            </w:r>
          </w:p>
        </w:tc>
      </w:tr>
      <w:tr>
        <w:trPr>
          <w:trHeight w:val="622"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Комитет по управлению муниципальной собственностью администрации Прокопьевского муниципального округа</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70 010 555,28</w:t>
            </w:r>
          </w:p>
        </w:tc>
        <w:tc>
          <w:tcPr>
            <w:tcW w:w="27" w:type="dxa"/>
            <w:tcBorders/>
          </w:tcPr>
          <w:p>
            <w:pPr>
              <w:pStyle w:val="Normal"/>
              <w:spacing w:before="0" w:after="200"/>
              <w:rPr/>
            </w:pPr>
            <w:r>
              <w:rPr/>
            </w:r>
          </w:p>
        </w:tc>
      </w:tr>
      <w:tr>
        <w:trPr>
          <w:trHeight w:val="5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Финансовое обеспечение наградной системы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02 3 00 10660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185 055,00</w:t>
            </w:r>
          </w:p>
        </w:tc>
        <w:tc>
          <w:tcPr>
            <w:tcW w:w="27" w:type="dxa"/>
            <w:tcBorders/>
          </w:tcPr>
          <w:p>
            <w:pPr>
              <w:pStyle w:val="Normal"/>
              <w:spacing w:before="0" w:after="200"/>
              <w:rPr/>
            </w:pPr>
            <w:r>
              <w:rPr/>
            </w:r>
          </w:p>
        </w:tc>
      </w:tr>
      <w:tr>
        <w:trPr>
          <w:trHeight w:val="699"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Содержание муниципального имущества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07 0 00 14030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3 491 275,78</w:t>
            </w:r>
          </w:p>
        </w:tc>
        <w:tc>
          <w:tcPr>
            <w:tcW w:w="27" w:type="dxa"/>
            <w:tcBorders/>
          </w:tcPr>
          <w:p>
            <w:pPr>
              <w:pStyle w:val="Normal"/>
              <w:spacing w:before="0" w:after="200"/>
              <w:rPr/>
            </w:pPr>
            <w:r>
              <w:rPr/>
            </w:r>
          </w:p>
        </w:tc>
      </w:tr>
      <w:tr>
        <w:trPr>
          <w:trHeight w:val="55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Содержание муниципального имущества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07 0 00 14030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617 884,00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Обеспечение предоставления муниципальных услуг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07 0 00 14050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573 400,00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Оценка муниципального имущества, признание прав на имущество, изготовление технической документации на объекты недвижимости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07 0 00 14110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148 195,02</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муниципальных функций общегосударственного управления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07 0 00 14170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464 703,02</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07 0 00 19040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19 456 602,90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07 0 00 19040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1 477 775,50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Подготовка проектов межевания земельных участков и проведение кадастровых работ (межевание)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 1 00 L5991</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159 890,00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Подготовка проектов межевания земельных участков и проведение кадастровых работ (кадастровые работы)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 1 00 L5992</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430 110,00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Оценка муниципального имущества, признание прав на имущество, изготовление технической документации на объекты недвижимости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07 0 00 14110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234 226,40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Межевание, постановка на кадастровый учет земельных участков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07 0 00 14140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72 733,00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 (капитальные вложения в объекты государственной (муниципальной) собственности)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 0 И2 67483</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2 320 000,00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Обеспечение устойчивого сокращения непригодного для проживания жилого фонда (за счет средств, поступивших от публично-правовой компании "Фонд развития территорий")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 0 И2 67483</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128 520,00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Ежемесячные взносы на формирование фонда капитального ремонта общего имущества в многоквартирных домах в части муниципального жилищного фонда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07 0 00 12100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4 259 181,96</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Предоставление жилых помещений гражданам, состоящим на учете нуждающихся в жилых помещениях, предоставляемых по договорам социального найма, а также нуждающимся в жилых помещениях, предоставляемых по договорам специализированного (служебного, маневренного)  найма из муниципального жилого фонда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03 0 00 13030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1 343 330,69</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03 0 00 13010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527 356,01</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(капитальные вложения в объекты государственной (муниципальной) собственности)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03 0 00 71850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23 939 903,00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(капитальные вложения в объекты государственной (муниципальной) собственности)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 0 00 R0820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10 180 413,00</w:t>
            </w:r>
          </w:p>
        </w:tc>
        <w:tc>
          <w:tcPr>
            <w:tcW w:w="27" w:type="dxa"/>
            <w:tcBorders/>
          </w:tcPr>
          <w:p>
            <w:pPr>
              <w:pStyle w:val="Normal"/>
              <w:spacing w:before="0" w:after="200"/>
              <w:rPr/>
            </w:pPr>
            <w:r>
              <w:rPr/>
            </w:r>
          </w:p>
        </w:tc>
      </w:tr>
      <w:tr>
        <w:trPr>
          <w:trHeight w:val="574"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Управление образования администрации Прокопьевского муниципального округа</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2 327 186 491,01</w:t>
            </w:r>
          </w:p>
        </w:tc>
        <w:tc>
          <w:tcPr>
            <w:tcW w:w="27" w:type="dxa"/>
            <w:tcBorders/>
          </w:tcPr>
          <w:p>
            <w:pPr>
              <w:pStyle w:val="Normal"/>
              <w:spacing w:before="0" w:after="200"/>
              <w:rPr/>
            </w:pPr>
            <w:r>
              <w:rPr/>
            </w:r>
          </w:p>
        </w:tc>
      </w:tr>
      <w:tr>
        <w:trPr>
          <w:trHeight w:val="838"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161 419 813,41</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образовательных организациях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10 1 00 71800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115 011 080,10</w:t>
            </w:r>
          </w:p>
        </w:tc>
        <w:tc>
          <w:tcPr>
            <w:tcW w:w="27" w:type="dxa"/>
            <w:tcBorders/>
          </w:tcPr>
          <w:p>
            <w:pPr>
              <w:pStyle w:val="Normal"/>
              <w:spacing w:before="0" w:after="200"/>
              <w:rPr/>
            </w:pPr>
            <w:r>
              <w:rPr/>
            </w:r>
          </w:p>
        </w:tc>
      </w:tr>
      <w:tr>
        <w:trPr>
          <w:trHeight w:val="87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2 952 915,52</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10 4 00 11030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2 441 099,00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мероприятий по обеспечению пожарной безопасности в муниципальных образовательных организациях Кемеровской области - Кузбасса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4 00 S1480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2 818 025,00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профилактике террористической и экстремистской деятельности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15 0 00 10640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5 604 851,47</w:t>
            </w:r>
          </w:p>
        </w:tc>
        <w:tc>
          <w:tcPr>
            <w:tcW w:w="27" w:type="dxa"/>
            <w:tcBorders/>
          </w:tcPr>
          <w:p>
            <w:pPr>
              <w:pStyle w:val="Normal"/>
              <w:spacing w:before="0" w:after="200"/>
              <w:rPr/>
            </w:pPr>
            <w:r>
              <w:rPr/>
            </w:r>
          </w:p>
        </w:tc>
      </w:tr>
      <w:tr>
        <w:trPr>
          <w:trHeight w:val="1124"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S1390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2 548 998,17</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помощь и организация мероприятий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05 0 00 15010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8 930,00</w:t>
            </w:r>
          </w:p>
        </w:tc>
        <w:tc>
          <w:tcPr>
            <w:tcW w:w="27" w:type="dxa"/>
            <w:tcBorders/>
          </w:tcPr>
          <w:p>
            <w:pPr>
              <w:pStyle w:val="Normal"/>
              <w:spacing w:before="0" w:after="200"/>
              <w:rPr/>
            </w:pPr>
            <w:r>
              <w:rPr/>
            </w:r>
          </w:p>
        </w:tc>
      </w:tr>
      <w:tr>
        <w:trPr>
          <w:trHeight w:val="896"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в области дорожного хозяйства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06 0 00 10360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4 935,00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в области дорожного хозяйства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06 0 00 10360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781 456,00</w:t>
            </w:r>
          </w:p>
        </w:tc>
        <w:tc>
          <w:tcPr>
            <w:tcW w:w="27" w:type="dxa"/>
            <w:tcBorders/>
          </w:tcPr>
          <w:p>
            <w:pPr>
              <w:pStyle w:val="Normal"/>
              <w:spacing w:before="0" w:after="200"/>
              <w:rPr/>
            </w:pPr>
            <w:r>
              <w:rPr/>
            </w:r>
          </w:p>
        </w:tc>
      </w:tr>
      <w:tr>
        <w:trPr>
          <w:trHeight w:val="738"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мер социальной поддержки работников образовательных организаций и участников образовательного процесса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756 300,00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мер социальной поддержки работников образовательных организаций и участников образовательного процесса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232 750,00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17 319,87</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сфере образования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3 865 499,11</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156 237 250,93</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сфере образования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60 000,00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10 1 00 71830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49 044 300,00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10 1 00 71830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74 588,25</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государственных гарантий реализации прав граждан на получение общедоступного и бесплатного дошкольного, начального общего, основного общего, среднего (полного) общего образования и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10 1 00 71830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526 537 296,97</w:t>
            </w:r>
          </w:p>
        </w:tc>
        <w:tc>
          <w:tcPr>
            <w:tcW w:w="27" w:type="dxa"/>
            <w:tcBorders/>
          </w:tcPr>
          <w:p>
            <w:pPr>
              <w:pStyle w:val="Normal"/>
              <w:spacing w:before="0" w:after="200"/>
              <w:rPr/>
            </w:pPr>
            <w:r>
              <w:rPr/>
            </w:r>
          </w:p>
        </w:tc>
      </w:tr>
      <w:tr>
        <w:trPr>
          <w:trHeight w:val="12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образовательной деятельности образовательных организаций по адаптированным общеобразовательным программам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10 1 00 71840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4 304 860,00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L3040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29 346 160,65</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Ю6 50500</w:t>
            </w:r>
          </w:p>
        </w:tc>
        <w:tc>
          <w:tcPr>
            <w:tcW w:w="810" w:type="dxa"/>
            <w:gridSpan w:val="2"/>
            <w:tcBorders>
              <w:bottom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99 080,87</w:t>
            </w:r>
          </w:p>
        </w:tc>
        <w:tc>
          <w:tcPr>
            <w:tcW w:w="27" w:type="dxa"/>
            <w:tcBorders/>
          </w:tcPr>
          <w:p>
            <w:pPr>
              <w:pStyle w:val="Normal"/>
              <w:spacing w:before="0" w:after="200"/>
              <w:rPr/>
            </w:pPr>
            <w:r>
              <w:rPr/>
            </w:r>
          </w:p>
        </w:tc>
      </w:tr>
      <w:tr>
        <w:trPr>
          <w:trHeight w:val="252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Ю6 50500</w:t>
            </w:r>
          </w:p>
        </w:tc>
        <w:tc>
          <w:tcPr>
            <w:tcW w:w="810" w:type="dxa"/>
            <w:gridSpan w:val="2"/>
            <w:tcBorders>
              <w:bottom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1 888 198,53</w:t>
            </w:r>
          </w:p>
        </w:tc>
        <w:tc>
          <w:tcPr>
            <w:tcW w:w="27" w:type="dxa"/>
            <w:tcBorders/>
          </w:tcPr>
          <w:p>
            <w:pPr>
              <w:pStyle w:val="Normal"/>
              <w:spacing w:before="0" w:after="200"/>
              <w:rPr/>
            </w:pPr>
            <w:r>
              <w:rPr/>
            </w:r>
          </w:p>
        </w:tc>
      </w:tr>
      <w:tr>
        <w:trPr>
          <w:trHeight w:val="148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Ю6 51790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3 284 420,22</w:t>
            </w:r>
          </w:p>
        </w:tc>
        <w:tc>
          <w:tcPr>
            <w:tcW w:w="27" w:type="dxa"/>
            <w:tcBorders/>
          </w:tcPr>
          <w:p>
            <w:pPr>
              <w:pStyle w:val="Normal"/>
              <w:spacing w:before="0" w:after="200"/>
              <w:rPr/>
            </w:pPr>
            <w:r>
              <w:rPr/>
            </w:r>
          </w:p>
        </w:tc>
      </w:tr>
      <w:tr>
        <w:trPr>
          <w:trHeight w:val="220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Ю6 53030</w:t>
            </w:r>
          </w:p>
        </w:tc>
        <w:tc>
          <w:tcPr>
            <w:tcW w:w="810" w:type="dxa"/>
            <w:gridSpan w:val="2"/>
            <w:tcBorders>
              <w:bottom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1 742 978,75</w:t>
            </w:r>
          </w:p>
        </w:tc>
        <w:tc>
          <w:tcPr>
            <w:tcW w:w="27" w:type="dxa"/>
            <w:tcBorders/>
          </w:tcPr>
          <w:p>
            <w:pPr>
              <w:pStyle w:val="Normal"/>
              <w:spacing w:before="0" w:after="200"/>
              <w:rPr/>
            </w:pPr>
            <w:r>
              <w:rPr/>
            </w:r>
          </w:p>
        </w:tc>
      </w:tr>
      <w:tr>
        <w:trPr>
          <w:trHeight w:val="189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Ю6 53030</w:t>
            </w:r>
          </w:p>
        </w:tc>
        <w:tc>
          <w:tcPr>
            <w:tcW w:w="810" w:type="dxa"/>
            <w:gridSpan w:val="2"/>
            <w:tcBorders>
              <w:bottom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55 983 261,25</w:t>
            </w:r>
          </w:p>
        </w:tc>
        <w:tc>
          <w:tcPr>
            <w:tcW w:w="27" w:type="dxa"/>
            <w:tcBorders/>
          </w:tcPr>
          <w:p>
            <w:pPr>
              <w:pStyle w:val="Normal"/>
              <w:spacing w:before="0" w:after="200"/>
              <w:rPr/>
            </w:pPr>
            <w:r>
              <w:rPr/>
            </w:r>
          </w:p>
        </w:tc>
      </w:tr>
      <w:tr>
        <w:trPr>
          <w:trHeight w:val="1244"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Строительство, реконструкция, капитальный ремонт объектов муниципальной собственности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10 2 00 11020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178 255 051,00</w:t>
            </w:r>
          </w:p>
        </w:tc>
        <w:tc>
          <w:tcPr>
            <w:tcW w:w="27" w:type="dxa"/>
            <w:tcBorders/>
          </w:tcPr>
          <w:p>
            <w:pPr>
              <w:pStyle w:val="Normal"/>
              <w:spacing w:before="0" w:after="200"/>
              <w:rPr/>
            </w:pPr>
            <w:r>
              <w:rPr/>
            </w:r>
          </w:p>
        </w:tc>
      </w:tr>
      <w:tr>
        <w:trPr>
          <w:trHeight w:val="964"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159 214 037,23</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Строительство, реконструкция и капитальный ремонт образовательных организаций (субсидии муниципальным образованиям) (капитальные вложения в объекты государственной (муниципальной) собственности)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S1771</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68 717 420,27</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Развитие единого образовательного пространства, повышение качества образовательных результатов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S1930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125 000,00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Создание кадетских (казачьих) классов в общеобразовательных организациях Кемеровской области - Кузбасса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S2020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385 988,00</w:t>
            </w:r>
          </w:p>
        </w:tc>
        <w:tc>
          <w:tcPr>
            <w:tcW w:w="27" w:type="dxa"/>
            <w:tcBorders/>
          </w:tcPr>
          <w:p>
            <w:pPr>
              <w:pStyle w:val="Normal"/>
              <w:spacing w:before="0" w:after="200"/>
              <w:rPr/>
            </w:pPr>
            <w:r>
              <w:rPr/>
            </w:r>
          </w:p>
        </w:tc>
      </w:tr>
      <w:tr>
        <w:trPr>
          <w:trHeight w:val="858"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0П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2 484 020,00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мероприятий по модернизации школьных систем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Ю4 57500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241 107 305,21</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10 4 00 11030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214 205,00</w:t>
            </w:r>
          </w:p>
        </w:tc>
        <w:tc>
          <w:tcPr>
            <w:tcW w:w="27" w:type="dxa"/>
            <w:tcBorders/>
          </w:tcPr>
          <w:p>
            <w:pPr>
              <w:pStyle w:val="Normal"/>
              <w:spacing w:before="0" w:after="200"/>
              <w:rPr/>
            </w:pPr>
            <w:r>
              <w:rPr/>
            </w:r>
          </w:p>
        </w:tc>
      </w:tr>
      <w:tr>
        <w:trPr>
          <w:trHeight w:val="882"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10 4 00 11030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5 679 308,16</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мероприятий по обеспечению пожарной безопасности в муниципальных образовательных организациях Кемеровской области - Кузбасса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4 00 S1480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39 700,00</w:t>
            </w:r>
          </w:p>
        </w:tc>
        <w:tc>
          <w:tcPr>
            <w:tcW w:w="27" w:type="dxa"/>
            <w:tcBorders/>
          </w:tcPr>
          <w:p>
            <w:pPr>
              <w:pStyle w:val="Normal"/>
              <w:spacing w:before="0" w:after="200"/>
              <w:rPr/>
            </w:pPr>
            <w:r>
              <w:rPr/>
            </w:r>
          </w:p>
        </w:tc>
      </w:tr>
      <w:tr>
        <w:trPr>
          <w:trHeight w:val="1139"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мероприятий по обеспечению пожарной безопасности в муниципальных образовательных организациях Кемеровской области - Кузбасса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4 00 S1480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3 581 150,00</w:t>
            </w:r>
          </w:p>
        </w:tc>
        <w:tc>
          <w:tcPr>
            <w:tcW w:w="27" w:type="dxa"/>
            <w:tcBorders/>
          </w:tcPr>
          <w:p>
            <w:pPr>
              <w:pStyle w:val="Normal"/>
              <w:spacing w:before="0" w:after="200"/>
              <w:rPr/>
            </w:pPr>
            <w:r>
              <w:rPr/>
            </w:r>
          </w:p>
        </w:tc>
      </w:tr>
      <w:tr>
        <w:trPr>
          <w:trHeight w:val="1269"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в области молодежной политики, развития физической культуры и спорта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13 1 00 10260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78 000,00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профилактике террористической и экстремистской деятельности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15 0 00 10640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294 145,24</w:t>
            </w:r>
          </w:p>
        </w:tc>
        <w:tc>
          <w:tcPr>
            <w:tcW w:w="27" w:type="dxa"/>
            <w:tcBorders/>
          </w:tcPr>
          <w:p>
            <w:pPr>
              <w:pStyle w:val="Normal"/>
              <w:spacing w:before="0" w:after="200"/>
              <w:rPr/>
            </w:pPr>
            <w:r>
              <w:rPr/>
            </w:r>
          </w:p>
        </w:tc>
      </w:tr>
      <w:tr>
        <w:trPr>
          <w:trHeight w:val="896"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профилактике террористической и экстремистской деятельности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15 0 00 10640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28 097 923,89</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S1390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281 715,77</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S1390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8 514 910,42</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проектов инициативного бюджетирования «Твой Кузбасс - твоя инициатива» (Благоустройство территории МБОУ «Михайловская основная общеобразовательная школа» (текущий ремонт), расположенной по адресу: 653241, Кемеровская область - Кузбасс, Прокопьевский муниципальный округ, с. Михайловка, ул. Центральная, 25 (Михайловская сельская территория)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0 00 S3424</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1 609 791,13</w:t>
            </w:r>
          </w:p>
        </w:tc>
        <w:tc>
          <w:tcPr>
            <w:tcW w:w="27" w:type="dxa"/>
            <w:tcBorders/>
          </w:tcPr>
          <w:p>
            <w:pPr>
              <w:pStyle w:val="Normal"/>
              <w:spacing w:before="0" w:after="200"/>
              <w:rPr/>
            </w:pPr>
            <w:r>
              <w:rPr/>
            </w:r>
          </w:p>
        </w:tc>
      </w:tr>
      <w:tr>
        <w:trPr>
          <w:trHeight w:val="911"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в области дорожного хозяйства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06 0 00 10360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29 300,00</w:t>
            </w:r>
          </w:p>
        </w:tc>
        <w:tc>
          <w:tcPr>
            <w:tcW w:w="27" w:type="dxa"/>
            <w:tcBorders/>
          </w:tcPr>
          <w:p>
            <w:pPr>
              <w:pStyle w:val="Normal"/>
              <w:spacing w:before="0" w:after="200"/>
              <w:rPr/>
            </w:pPr>
            <w:r>
              <w:rPr/>
            </w:r>
          </w:p>
        </w:tc>
      </w:tr>
      <w:tr>
        <w:trPr>
          <w:trHeight w:val="953"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156 680 531,77</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дополнительных общеразвивающих программ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8 679 317,29</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1 066 737,93</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10 4 00 11030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1 122 367,75</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в области молодежной политики, развития физической культуры и спорта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13 1 00 10260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1 025 339,40</w:t>
            </w:r>
          </w:p>
        </w:tc>
        <w:tc>
          <w:tcPr>
            <w:tcW w:w="27" w:type="dxa"/>
            <w:tcBorders/>
          </w:tcPr>
          <w:p>
            <w:pPr>
              <w:pStyle w:val="Normal"/>
              <w:spacing w:before="0" w:after="200"/>
              <w:rPr/>
            </w:pPr>
            <w:r>
              <w:rPr/>
            </w:r>
          </w:p>
        </w:tc>
      </w:tr>
      <w:tr>
        <w:trPr>
          <w:trHeight w:val="828"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профилактике террористической и экстремистской деятельности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15 0 00 10640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13 085 733,37</w:t>
            </w:r>
          </w:p>
        </w:tc>
        <w:tc>
          <w:tcPr>
            <w:tcW w:w="27" w:type="dxa"/>
            <w:tcBorders/>
          </w:tcPr>
          <w:p>
            <w:pPr>
              <w:pStyle w:val="Normal"/>
              <w:spacing w:before="0" w:after="200"/>
              <w:rPr/>
            </w:pPr>
            <w:r>
              <w:rPr/>
            </w:r>
          </w:p>
        </w:tc>
      </w:tr>
      <w:tr>
        <w:trPr>
          <w:trHeight w:val="1124"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Реализация мероприятий по обеспечению антитеррористической защищенности в муниципальных образовательных организациях Кемеровской области - Кузбасса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S1390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254 375,64</w:t>
            </w:r>
          </w:p>
        </w:tc>
        <w:tc>
          <w:tcPr>
            <w:tcW w:w="27" w:type="dxa"/>
            <w:tcBorders/>
          </w:tcPr>
          <w:p>
            <w:pPr>
              <w:pStyle w:val="Normal"/>
              <w:spacing w:before="0" w:after="200"/>
              <w:rPr/>
            </w:pPr>
            <w:r>
              <w:rPr/>
            </w:r>
          </w:p>
        </w:tc>
      </w:tr>
      <w:tr>
        <w:trPr>
          <w:trHeight w:val="68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Финансовое обеспечение наградной системы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02 3 00 10660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3 288 871,00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в области дорожного хозяйства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06 0 00 10360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41 340,00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в области дорожного хозяйства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06 0 00 10360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71 050,00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16 303 940,48</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сфере образования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3 034 559,51</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210 815 757,47</w:t>
            </w:r>
          </w:p>
        </w:tc>
        <w:tc>
          <w:tcPr>
            <w:tcW w:w="27" w:type="dxa"/>
            <w:tcBorders/>
          </w:tcPr>
          <w:p>
            <w:pPr>
              <w:pStyle w:val="Normal"/>
              <w:spacing w:before="0" w:after="200"/>
              <w:rPr/>
            </w:pPr>
            <w:r>
              <w:rPr/>
            </w:r>
          </w:p>
        </w:tc>
      </w:tr>
      <w:tr>
        <w:trPr>
          <w:trHeight w:val="6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сфере образования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10 1 00 11010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8 621,00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осуществления контроля за распоряжением ими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10 1 00 72070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5 866 382,46</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и осуществление деятельности по опеке и попечительству, осуществление контроля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осуществления контроля за распоряжением ими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10 1 00 72070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210 652,00</w:t>
            </w:r>
          </w:p>
        </w:tc>
        <w:tc>
          <w:tcPr>
            <w:tcW w:w="27" w:type="dxa"/>
            <w:tcBorders/>
          </w:tcPr>
          <w:p>
            <w:pPr>
              <w:pStyle w:val="Normal"/>
              <w:spacing w:before="0" w:after="200"/>
              <w:rPr/>
            </w:pPr>
            <w:r>
              <w:rPr/>
            </w:r>
          </w:p>
        </w:tc>
      </w:tr>
      <w:tr>
        <w:trPr>
          <w:trHeight w:val="63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Профилактика безнадзорности и правонарушений несовершеннолетних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S2060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6 300,00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мер социальной поддержки работников образовательных организаций и участников образовательного процесса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10 2 00 11000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302 100,00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2 586 795,79</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200 340,00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Меры поощрения обучающихся, воспитанников образовательных организаций Прокопьевского муниципального района, выполнивших нормативы и требования знаков отличия Всероссийского физкультурно-спортивного комплекса «Готов к труду и обороне» (ГТО), их родителей (законных представителей), руководителей и учителей, успешно внедряющих Всероссийский физкультурно-спортивный комплекс ГТО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10 2 00 85080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265 966,00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Адресная социальная поддержка участников образовательного процесса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S2000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1 026 950,00</w:t>
            </w:r>
          </w:p>
        </w:tc>
        <w:tc>
          <w:tcPr>
            <w:tcW w:w="27" w:type="dxa"/>
            <w:tcBorders/>
          </w:tcPr>
          <w:p>
            <w:pPr>
              <w:pStyle w:val="Normal"/>
              <w:spacing w:before="0" w:after="200"/>
              <w:rPr/>
            </w:pPr>
            <w:r>
              <w:rPr/>
            </w:r>
          </w:p>
        </w:tc>
      </w:tr>
      <w:tr>
        <w:trPr>
          <w:trHeight w:val="854"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10 3 00 11030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94 730,00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круглогодичного отдыха, оздоровления и занятости обучающихся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10 3 00 11030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18 284 939,53</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Организация круглогодичного отдыха, оздоровления и занятости обучающихся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10 3 00 71940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2 689 100,00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Программные мероприятия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10 4 00 11030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130 750,00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10 5 00 19040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3 336 016,05</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(закупка товаров, работ и услуг для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10 5 00 19040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480 631,00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профилактике террористической и экстремистской деятельности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15 0 00 10640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5 193 813,99</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по профилактике распространения наркомании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18 0 00 16060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140 000,00</w:t>
            </w:r>
          </w:p>
        </w:tc>
        <w:tc>
          <w:tcPr>
            <w:tcW w:w="27" w:type="dxa"/>
            <w:tcBorders/>
          </w:tcPr>
          <w:p>
            <w:pPr>
              <w:pStyle w:val="Normal"/>
              <w:spacing w:before="0" w:after="200"/>
              <w:rPr/>
            </w:pPr>
            <w:r>
              <w:rPr/>
            </w:r>
          </w:p>
        </w:tc>
      </w:tr>
      <w:tr>
        <w:trPr>
          <w:trHeight w:val="852"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мер социальной поддержки работников образовательных организаций и участников образовательного процесса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10 2 00 11000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356 244,00</w:t>
            </w:r>
          </w:p>
        </w:tc>
        <w:tc>
          <w:tcPr>
            <w:tcW w:w="27" w:type="dxa"/>
            <w:tcBorders/>
          </w:tcPr>
          <w:p>
            <w:pPr>
              <w:pStyle w:val="Normal"/>
              <w:spacing w:before="0" w:after="200"/>
              <w:rPr/>
            </w:pPr>
            <w:r>
              <w:rPr/>
            </w:r>
          </w:p>
        </w:tc>
      </w:tr>
      <w:tr>
        <w:trPr>
          <w:trHeight w:val="978"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поддержка работников образовательных организаций и участников образовательного процесса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10 2 00 72010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755 500,00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поддержка работников образовательных организаций и участников образовательного процесса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10 2 00 72010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85 200,00</w:t>
            </w:r>
          </w:p>
        </w:tc>
        <w:tc>
          <w:tcPr>
            <w:tcW w:w="27" w:type="dxa"/>
            <w:tcBorders/>
          </w:tcPr>
          <w:p>
            <w:pPr>
              <w:pStyle w:val="Normal"/>
              <w:spacing w:before="0" w:after="200"/>
              <w:rPr/>
            </w:pPr>
            <w:r>
              <w:rPr/>
            </w:r>
          </w:p>
        </w:tc>
      </w:tr>
      <w:tr>
        <w:trPr>
          <w:trHeight w:val="983"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Единовременная выплата специалистам, прибывшим (переехавшим) на работу в Прокопьевский муниципальный округ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10 2 00 85120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1 724 139,00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Меры социальной поддержки молодых специалистов, работающих в учреждениях образования, культуры, здравоохранения, расположенных и осуществляющих свою деятельность в границах Прокопьевского муниципального округа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10 2 00 85130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896 555,00</w:t>
            </w:r>
          </w:p>
        </w:tc>
        <w:tc>
          <w:tcPr>
            <w:tcW w:w="27" w:type="dxa"/>
            <w:tcBorders/>
          </w:tcPr>
          <w:p>
            <w:pPr>
              <w:pStyle w:val="Normal"/>
              <w:spacing w:before="0" w:after="200"/>
              <w:rPr/>
            </w:pPr>
            <w:r>
              <w:rPr/>
            </w:r>
          </w:p>
        </w:tc>
      </w:tr>
      <w:tr>
        <w:trPr>
          <w:trHeight w:val="1171"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10 1 00 71020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8 700,00</w:t>
            </w:r>
          </w:p>
        </w:tc>
        <w:tc>
          <w:tcPr>
            <w:tcW w:w="27" w:type="dxa"/>
            <w:tcBorders/>
          </w:tcPr>
          <w:p>
            <w:pPr>
              <w:pStyle w:val="Normal"/>
              <w:spacing w:before="0" w:after="200"/>
              <w:rPr/>
            </w:pPr>
            <w:r>
              <w:rPr/>
            </w:r>
          </w:p>
        </w:tc>
      </w:tr>
      <w:tr>
        <w:trPr>
          <w:trHeight w:val="1401"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Предоставление бесплатного двухразового питания детям-инвалидам, не имеющим ограниченных возможностей здоровья, обучающимся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10 1 00 71020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1 045 071,43</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Компенсация части платы за присмотр и уход, взимаемой с родителей (законных представителей) детей, осваивающих образовательные программы дошкольного образования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10 1 00 71810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9 090,80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Предоставление членам семей участников специальной военной операции, указанным в подпункте 2 статьи 2 Закона Кемеровской области - Кузбасса «О мерах социальной поддержки семей граждан, принимающих участие в специальной военной операции», обучающимся в пятых - одиннадцатых классах муниципальных общеобразовательных организаций, бесплатного одноразового горячего питания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10 1 00 72140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902 100,00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10 1 00 80130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101 520,22</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Осуществление назначения и выплаты денежных средств семьям, взявшим на воспитание детей-сирот и детей, оставшихся без попечения родителей, предоставление им мер социальной поддержки, осуществление назначения и выплаты денежных средств лицам, находившимся под попечительством, лицам, являвшимся приемными родителями, в соответствии с Законом Кемеровской области от 14 декабря 2010 года № 124-ОЗ «О некоторых вопросах в сфере опеки и попечительства несовершеннолетних»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10 1 00 80130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21 162 979,78</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Осуществление назначения и выплаты единовременного государственного пособия гражданам, усыновившим (удочерившим) детей-сирот и детей, оставшихся без попечения родителей, установленного Законом Кемеровской области от 13 марта 2008 года № 5-ОЗ «О предоставлении меры социальной поддержки гражданам, усыновившим (удочерившим) детей-сирот и детей, оставшихся без попечения родителей»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10 1 00 80140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150 000,00</w:t>
            </w:r>
          </w:p>
        </w:tc>
        <w:tc>
          <w:tcPr>
            <w:tcW w:w="27" w:type="dxa"/>
            <w:tcBorders/>
          </w:tcPr>
          <w:p>
            <w:pPr>
              <w:pStyle w:val="Normal"/>
              <w:spacing w:before="0" w:after="200"/>
              <w:rPr/>
            </w:pPr>
            <w:r>
              <w:rPr/>
            </w:r>
          </w:p>
        </w:tc>
      </w:tr>
      <w:tr>
        <w:trPr>
          <w:trHeight w:val="983"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мер социальной поддержки многодетных семей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1 Я2 70050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8 738 897,32</w:t>
            </w:r>
          </w:p>
        </w:tc>
        <w:tc>
          <w:tcPr>
            <w:tcW w:w="27" w:type="dxa"/>
            <w:tcBorders/>
          </w:tcPr>
          <w:p>
            <w:pPr>
              <w:pStyle w:val="Normal"/>
              <w:spacing w:before="0" w:after="200"/>
              <w:rPr/>
            </w:pPr>
            <w:r>
              <w:rPr/>
            </w:r>
          </w:p>
        </w:tc>
      </w:tr>
      <w:tr>
        <w:trPr>
          <w:trHeight w:val="1124"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Строительство, реконструкция, капитальный ремонт объектов муниципальной собственности в сфере образования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10 2 00 11020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8 556 143,64</w:t>
            </w:r>
          </w:p>
        </w:tc>
        <w:tc>
          <w:tcPr>
            <w:tcW w:w="27" w:type="dxa"/>
            <w:tcBorders/>
          </w:tcPr>
          <w:p>
            <w:pPr>
              <w:pStyle w:val="Normal"/>
              <w:spacing w:before="0" w:after="200"/>
              <w:rPr/>
            </w:pPr>
            <w:r>
              <w:rPr/>
            </w:r>
          </w:p>
        </w:tc>
      </w:tr>
      <w:tr>
        <w:trPr>
          <w:trHeight w:val="983"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Развитие физической культуры и массового спорта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911</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1 00 S0510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625 000,00</w:t>
            </w:r>
          </w:p>
        </w:tc>
        <w:tc>
          <w:tcPr>
            <w:tcW w:w="27" w:type="dxa"/>
            <w:tcBorders/>
          </w:tcPr>
          <w:p>
            <w:pPr>
              <w:pStyle w:val="Normal"/>
              <w:spacing w:before="0" w:after="200"/>
              <w:rPr/>
            </w:pPr>
            <w:r>
              <w:rPr/>
            </w:r>
          </w:p>
        </w:tc>
      </w:tr>
      <w:tr>
        <w:trPr>
          <w:trHeight w:val="55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Управление культуры, спорта, туризма и молодежной политики администрации Прокопьевского муниципального округа</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513 352 768,05</w:t>
            </w:r>
          </w:p>
        </w:tc>
        <w:tc>
          <w:tcPr>
            <w:tcW w:w="27" w:type="dxa"/>
            <w:tcBorders/>
          </w:tcPr>
          <w:p>
            <w:pPr>
              <w:pStyle w:val="Normal"/>
              <w:spacing w:before="0" w:after="200"/>
              <w:rPr/>
            </w:pPr>
            <w:r>
              <w:rPr/>
            </w:r>
          </w:p>
        </w:tc>
      </w:tr>
      <w:tr>
        <w:trPr>
          <w:trHeight w:val="630" w:hRule="atLeast"/>
        </w:trPr>
        <w:tc>
          <w:tcPr>
            <w:tcW w:w="7468" w:type="dxa"/>
            <w:gridSpan w:val="7"/>
            <w:tcBorders>
              <w:top w:val="single" w:sz="4" w:space="0" w:color="000000"/>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Развитие внутреннего и въездного туризма (предоставление субсидий бюджетным, автономным учреждениям и иным некоммерческим организациям)</w:t>
            </w:r>
          </w:p>
        </w:tc>
        <w:tc>
          <w:tcPr>
            <w:tcW w:w="1168" w:type="dxa"/>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1820" w:type="dxa"/>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09 3 00 10460</w:t>
            </w:r>
          </w:p>
        </w:tc>
        <w:tc>
          <w:tcPr>
            <w:tcW w:w="810" w:type="dxa"/>
            <w:gridSpan w:val="2"/>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top w:val="single" w:sz="4" w:space="0" w:color="000000"/>
              <w:left w:val="single" w:sz="4" w:space="0" w:color="D9D9D9"/>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Arial" w:ascii="Arial" w:hAnsi="Arial"/>
                <w:color w:val="000000"/>
                <w:sz w:val="20"/>
                <w:szCs w:val="20"/>
                <w:lang w:eastAsia="ru-RU"/>
              </w:rPr>
              <w:t>89 655,80</w:t>
            </w:r>
          </w:p>
        </w:tc>
        <w:tc>
          <w:tcPr>
            <w:tcW w:w="27" w:type="dxa"/>
            <w:tcBorders/>
          </w:tcPr>
          <w:p>
            <w:pPr>
              <w:pStyle w:val="Normal"/>
              <w:spacing w:before="0" w:after="200"/>
              <w:rPr/>
            </w:pPr>
            <w:r>
              <w:rPr/>
            </w:r>
          </w:p>
        </w:tc>
      </w:tr>
      <w:tr>
        <w:trPr>
          <w:trHeight w:val="945" w:hRule="atLeast"/>
        </w:trPr>
        <w:tc>
          <w:tcPr>
            <w:tcW w:w="7468" w:type="dxa"/>
            <w:gridSpan w:val="7"/>
            <w:tcBorders>
              <w:top w:val="single" w:sz="4" w:space="0" w:color="000000"/>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учреждений дополнительного образования (предоставление субсидий бюджетным, автономным учреждениям и иным некоммерческим организациям)</w:t>
            </w:r>
          </w:p>
        </w:tc>
        <w:tc>
          <w:tcPr>
            <w:tcW w:w="1168" w:type="dxa"/>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09 1 00 10440</w:t>
            </w:r>
          </w:p>
        </w:tc>
        <w:tc>
          <w:tcPr>
            <w:tcW w:w="810" w:type="dxa"/>
            <w:gridSpan w:val="2"/>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top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42 663 495,55</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Укрепление материально-технической базы учреждений культуры и дополнительного образования, пополнение библиотечных фондов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09 2 00 10400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1 600,00</w:t>
            </w:r>
          </w:p>
        </w:tc>
        <w:tc>
          <w:tcPr>
            <w:tcW w:w="27" w:type="dxa"/>
            <w:tcBorders/>
          </w:tcPr>
          <w:p>
            <w:pPr>
              <w:pStyle w:val="Normal"/>
              <w:spacing w:before="0" w:after="200"/>
              <w:rPr/>
            </w:pPr>
            <w:r>
              <w:rPr/>
            </w:r>
          </w:p>
        </w:tc>
      </w:tr>
      <w:tr>
        <w:trPr>
          <w:trHeight w:val="918"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профилактике террористической и экстремистской деятельности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15 0 00 10640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1 155 044,18</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в области молодежной политики и оздоровления детей, развития физической культуры и спорта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13 1 00 10260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1 874 089,68</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учреждений, осуществляющих организационно-воспитательную работу с молодежью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13 1 00 10470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1 440 294,10</w:t>
            </w:r>
          </w:p>
        </w:tc>
        <w:tc>
          <w:tcPr>
            <w:tcW w:w="27" w:type="dxa"/>
            <w:tcBorders/>
          </w:tcPr>
          <w:p>
            <w:pPr>
              <w:pStyle w:val="Normal"/>
              <w:spacing w:before="0" w:after="200"/>
              <w:rPr/>
            </w:pPr>
            <w:r>
              <w:rPr/>
            </w:r>
          </w:p>
        </w:tc>
      </w:tr>
      <w:tr>
        <w:trPr>
          <w:trHeight w:val="86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профилактике террористической и экстремистской деятельности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15 0 00 10640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c>
          <w:tcPr>
            <w:tcW w:w="27" w:type="dxa"/>
            <w:tcBorders/>
          </w:tcPr>
          <w:p>
            <w:pPr>
              <w:pStyle w:val="Normal"/>
              <w:spacing w:before="0" w:after="200"/>
              <w:rPr/>
            </w:pPr>
            <w:r>
              <w:rPr/>
            </w:r>
          </w:p>
        </w:tc>
      </w:tr>
      <w:tr>
        <w:trPr>
          <w:trHeight w:val="983"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помощь и организация мероприятий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05 0 00 15010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31 711,00</w:t>
            </w:r>
          </w:p>
        </w:tc>
        <w:tc>
          <w:tcPr>
            <w:tcW w:w="27" w:type="dxa"/>
            <w:tcBorders/>
          </w:tcPr>
          <w:p>
            <w:pPr>
              <w:pStyle w:val="Normal"/>
              <w:spacing w:before="0" w:after="200"/>
              <w:rPr/>
            </w:pPr>
            <w:r>
              <w:rPr/>
            </w:r>
          </w:p>
        </w:tc>
      </w:tr>
      <w:tr>
        <w:trPr>
          <w:trHeight w:val="84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области культуры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09 1 00 10420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277 124 809,82</w:t>
            </w:r>
          </w:p>
        </w:tc>
        <w:tc>
          <w:tcPr>
            <w:tcW w:w="27" w:type="dxa"/>
            <w:tcBorders/>
          </w:tcPr>
          <w:p>
            <w:pPr>
              <w:pStyle w:val="Normal"/>
              <w:spacing w:before="0" w:after="200"/>
              <w:rPr/>
            </w:pPr>
            <w:r>
              <w:rPr/>
            </w:r>
          </w:p>
        </w:tc>
      </w:tr>
      <w:tr>
        <w:trPr>
          <w:trHeight w:val="1139"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Ежемесячные выплаты стимулирующего характера работникам муниципальных библиотек, музеев и культурно-досуговых учреждений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1 00 S0420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7 497 500,00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Укрепление материально-технической базы учреждений культуры и дополнительного образования, пополнение библиотечных фондов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09 2 00 10400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2 543 978,00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Строительство, реконструкция, капитальный и текущий ремонт учреждений культуры и дополнительного образования, благоустройство территорий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09 2 00 10500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3 804 169,84</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Строительство, реконструкция, капитальный и текущий ремонт учреждений культуры и дополнительного образования, благоустройство территорий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2 0П 10500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3 087 874,00</w:t>
            </w:r>
          </w:p>
        </w:tc>
        <w:tc>
          <w:tcPr>
            <w:tcW w:w="27" w:type="dxa"/>
            <w:tcBorders/>
          </w:tcPr>
          <w:p>
            <w:pPr>
              <w:pStyle w:val="Normal"/>
              <w:spacing w:before="0" w:after="200"/>
              <w:rPr/>
            </w:pPr>
            <w:r>
              <w:rPr/>
            </w:r>
          </w:p>
        </w:tc>
      </w:tr>
      <w:tr>
        <w:trPr>
          <w:trHeight w:val="126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в сфере культурно-развлекательного досуга и спорта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09 3 00 10430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41 813 500,21</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в области молодежной политики, развития физической культуры и спорта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13 1 00 10260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598 391,00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программных мероприятий, направленных на укрепление общественного здоровья населения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13 2 00 10730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115 124,00</w:t>
            </w:r>
          </w:p>
        </w:tc>
        <w:tc>
          <w:tcPr>
            <w:tcW w:w="27" w:type="dxa"/>
            <w:tcBorders/>
          </w:tcPr>
          <w:p>
            <w:pPr>
              <w:pStyle w:val="Normal"/>
              <w:spacing w:before="0" w:after="200"/>
              <w:rPr/>
            </w:pPr>
            <w:r>
              <w:rPr/>
            </w:r>
          </w:p>
        </w:tc>
      </w:tr>
      <w:tr>
        <w:trPr>
          <w:trHeight w:val="87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Мероприятия по профилактике террористической и экстремистской деятельности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15 0 00 10640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9 980 576,33</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vAlign w:val="bottom"/>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Проведение мероприятий, направленных на сохранение и развитие традиционной народной культуры и национальных видов спорта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19 1 00 10370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1 005 668,00</w:t>
            </w:r>
          </w:p>
        </w:tc>
        <w:tc>
          <w:tcPr>
            <w:tcW w:w="27" w:type="dxa"/>
            <w:tcBorders/>
          </w:tcPr>
          <w:p>
            <w:pPr>
              <w:pStyle w:val="Normal"/>
              <w:spacing w:before="0" w:after="200"/>
              <w:rPr/>
            </w:pPr>
            <w:r>
              <w:rPr/>
            </w:r>
          </w:p>
        </w:tc>
      </w:tr>
      <w:tr>
        <w:trPr>
          <w:trHeight w:val="85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Этнокультурное развитие наций и народностей Кемеровской области-Кузбасса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 1 00 S0480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125 000,00</w:t>
            </w:r>
          </w:p>
        </w:tc>
        <w:tc>
          <w:tcPr>
            <w:tcW w:w="27" w:type="dxa"/>
            <w:tcBorders/>
          </w:tcPr>
          <w:p>
            <w:pPr>
              <w:pStyle w:val="Normal"/>
              <w:spacing w:before="0" w:after="200"/>
              <w:rPr/>
            </w:pPr>
            <w:r>
              <w:rPr/>
            </w:r>
          </w:p>
        </w:tc>
      </w:tr>
      <w:tr>
        <w:trPr>
          <w:trHeight w:val="57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Финансовое обеспечение наградной системы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02 3 00 10660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4 353 971,00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Финансовое обеспечение наградной системы (предоставление субсидий бюджетным, автономным учреждениям и иным некоммерческим организациям)</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02 3 00 10660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842 546,00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центра обслуживания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09 1 00 10410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109 242 046,30</w:t>
            </w:r>
          </w:p>
        </w:tc>
        <w:tc>
          <w:tcPr>
            <w:tcW w:w="27" w:type="dxa"/>
            <w:tcBorders/>
          </w:tcPr>
          <w:p>
            <w:pPr>
              <w:pStyle w:val="Normal"/>
              <w:spacing w:before="0" w:after="200"/>
              <w:rPr/>
            </w:pPr>
            <w:r>
              <w:rPr/>
            </w:r>
          </w:p>
        </w:tc>
      </w:tr>
      <w:tr>
        <w:trPr>
          <w:trHeight w:val="91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центра обслуживания учреждений культуры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09 1 00 10410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46 170,00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центра обслуживания учреждений культуры (иные бюджетные ассигновения)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09 1 00 10410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5 000,00</w:t>
            </w:r>
          </w:p>
        </w:tc>
        <w:tc>
          <w:tcPr>
            <w:tcW w:w="27" w:type="dxa"/>
            <w:tcBorders/>
          </w:tcPr>
          <w:p>
            <w:pPr>
              <w:pStyle w:val="Normal"/>
              <w:spacing w:before="0" w:after="200"/>
              <w:rPr/>
            </w:pPr>
            <w:r>
              <w:rPr/>
            </w:r>
          </w:p>
        </w:tc>
      </w:tr>
      <w:tr>
        <w:trPr>
          <w:trHeight w:val="1408"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09 1 00 19040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3 476 029,24</w:t>
            </w:r>
          </w:p>
        </w:tc>
        <w:tc>
          <w:tcPr>
            <w:tcW w:w="27" w:type="dxa"/>
            <w:tcBorders/>
          </w:tcPr>
          <w:p>
            <w:pPr>
              <w:pStyle w:val="Normal"/>
              <w:spacing w:before="0" w:after="200"/>
              <w:rPr/>
            </w:pPr>
            <w:r>
              <w:rPr/>
            </w:r>
          </w:p>
        </w:tc>
      </w:tr>
      <w:tr>
        <w:trPr>
          <w:trHeight w:val="1129"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Меры по стимулированию различных возрастных групп населения к выполнению нормативов и требований Всероссийского физкультурно-спортивного комплекса «Готов к труду и обороне» (ГТО)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13 1 00 85110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246 524,00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поддержка работников образовательных организаций и участников образовательного процесса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913</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09 1 00 72010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188 000,00</w:t>
            </w:r>
          </w:p>
        </w:tc>
        <w:tc>
          <w:tcPr>
            <w:tcW w:w="27" w:type="dxa"/>
            <w:tcBorders/>
          </w:tcPr>
          <w:p>
            <w:pPr>
              <w:pStyle w:val="Normal"/>
              <w:spacing w:before="0" w:after="200"/>
              <w:rPr/>
            </w:pPr>
            <w:r>
              <w:rPr/>
            </w:r>
          </w:p>
        </w:tc>
      </w:tr>
      <w:tr>
        <w:trPr>
          <w:trHeight w:val="592"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Управление социальной защиты населения администрации Прокопьевского муниципального округа</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178 686 607,88</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Пенсии за выслугу лет лицам, замещавшим муниципальные должности и должности муниципальной  службы в органах местного самоуправления Прокопьевского муниципального округа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04 3 00 85020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8 124,16</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Пенсии за выслугу лет лицам, замещавшим муниципальные должности и должности муниципальной  службы в органах местного самоуправления Прокопьевского муниципального округа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04 3 00 85020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6 083 999,84</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Ежемесячная доплата к пенсии лицам, работавшим в органах государственной власти и управления, органах местного самоуправления, общественных и политических организациях Прокопьевского муниципального округа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04 3 00 85140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514,92</w:t>
            </w:r>
          </w:p>
        </w:tc>
        <w:tc>
          <w:tcPr>
            <w:tcW w:w="27" w:type="dxa"/>
            <w:tcBorders/>
          </w:tcPr>
          <w:p>
            <w:pPr>
              <w:pStyle w:val="Normal"/>
              <w:spacing w:before="0" w:after="200"/>
              <w:rPr/>
            </w:pPr>
            <w:r>
              <w:rPr/>
            </w:r>
          </w:p>
        </w:tc>
      </w:tr>
      <w:tr>
        <w:trPr>
          <w:trHeight w:val="55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Ежемесячная доплата к пенсии лицам, работавшим в органах государственной власти и управления, органах местного самоуправления, общественных и политических организациях Прокопьевского муниципального округа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04 3 00 85140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343 260,00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(оказание услуг) муниципальных учреждений в сфере социального обслуживания населения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04 1 00 10020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28 858,41</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Обеспечение деятельности (оказание услуг) муниципальных учреждений в сфере социального обслуживания населения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04 1 00 10020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159 483,00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за счет доходов от оказания платных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04 1 00 10030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4 288 805,33</w:t>
            </w:r>
          </w:p>
        </w:tc>
        <w:tc>
          <w:tcPr>
            <w:tcW w:w="27" w:type="dxa"/>
            <w:tcBorders/>
          </w:tcPr>
          <w:p>
            <w:pPr>
              <w:pStyle w:val="Normal"/>
              <w:spacing w:before="0" w:after="200"/>
              <w:rPr/>
            </w:pPr>
            <w:r>
              <w:rPr/>
            </w:r>
          </w:p>
        </w:tc>
      </w:tr>
      <w:tr>
        <w:trPr>
          <w:trHeight w:val="91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за счет доходов от оказания платных услуг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04 1 00 10030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1 046 368,46</w:t>
            </w:r>
          </w:p>
        </w:tc>
        <w:tc>
          <w:tcPr>
            <w:tcW w:w="27" w:type="dxa"/>
            <w:tcBorders/>
          </w:tcPr>
          <w:p>
            <w:pPr>
              <w:pStyle w:val="Normal"/>
              <w:spacing w:before="0" w:after="200"/>
              <w:rPr/>
            </w:pPr>
            <w:r>
              <w:rPr/>
            </w:r>
          </w:p>
        </w:tc>
      </w:tr>
      <w:tr>
        <w:trPr>
          <w:trHeight w:val="71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муниципальных учреждений за счет доходов от оказания платных услуг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04 1 00 10030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500,00</w:t>
            </w:r>
          </w:p>
        </w:tc>
        <w:tc>
          <w:tcPr>
            <w:tcW w:w="27" w:type="dxa"/>
            <w:tcBorders/>
          </w:tcPr>
          <w:p>
            <w:pPr>
              <w:pStyle w:val="Normal"/>
              <w:spacing w:before="0" w:after="200"/>
              <w:rPr/>
            </w:pPr>
            <w:r>
              <w:rPr/>
            </w:r>
          </w:p>
        </w:tc>
      </w:tr>
      <w:tr>
        <w:trPr>
          <w:trHeight w:val="157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04 1 00 73880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68 695 600,00</w:t>
            </w:r>
          </w:p>
        </w:tc>
        <w:tc>
          <w:tcPr>
            <w:tcW w:w="27" w:type="dxa"/>
            <w:tcBorders/>
          </w:tcPr>
          <w:p>
            <w:pPr>
              <w:pStyle w:val="Normal"/>
              <w:spacing w:before="0" w:after="200"/>
              <w:rPr/>
            </w:pPr>
            <w:r>
              <w:rPr/>
            </w:r>
          </w:p>
        </w:tc>
      </w:tr>
      <w:tr>
        <w:trPr>
          <w:trHeight w:val="157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04 1 00 73880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1 334 508,32</w:t>
            </w:r>
          </w:p>
        </w:tc>
        <w:tc>
          <w:tcPr>
            <w:tcW w:w="27" w:type="dxa"/>
            <w:tcBorders/>
          </w:tcPr>
          <w:p>
            <w:pPr>
              <w:pStyle w:val="Normal"/>
              <w:spacing w:before="0" w:after="200"/>
              <w:rPr/>
            </w:pPr>
            <w:r>
              <w:rPr/>
            </w:r>
          </w:p>
        </w:tc>
      </w:tr>
      <w:tr>
        <w:trPr>
          <w:trHeight w:val="157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04 1 00 73880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2 113,44</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Социальное обслуживание граждан, достигших возраста 18 лет, признанных нуждающимися в социальном обслуживании, за исключением государственного полномочия по социальному обслуживанию граждан пожилого возраста и инвалидов, граждан, находящихся в трудной жизненной ситуации, в государственных организациях социального обслуживания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04 1 00 73880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18 000,00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(оказание услуг) муниципальных учреждений в сфере социального обслуживания населения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04 2 00 10020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17 340,00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04 2 00 70172</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27 611 200,00</w:t>
            </w:r>
          </w:p>
        </w:tc>
        <w:tc>
          <w:tcPr>
            <w:tcW w:w="27" w:type="dxa"/>
            <w:tcBorders/>
          </w:tcPr>
          <w:p>
            <w:pPr>
              <w:pStyle w:val="Normal"/>
              <w:spacing w:before="0" w:after="200"/>
              <w:rPr/>
            </w:pPr>
            <w:r>
              <w:rPr/>
            </w:r>
          </w:p>
        </w:tc>
      </w:tr>
      <w:tr>
        <w:trPr>
          <w:trHeight w:val="1692"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04 2 00 70172</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3 948 800,00</w:t>
            </w:r>
          </w:p>
        </w:tc>
        <w:tc>
          <w:tcPr>
            <w:tcW w:w="27" w:type="dxa"/>
            <w:tcBorders/>
          </w:tcPr>
          <w:p>
            <w:pPr>
              <w:pStyle w:val="Normal"/>
              <w:spacing w:before="0" w:after="200"/>
              <w:rPr/>
            </w:pPr>
            <w:r>
              <w:rPr/>
            </w:r>
          </w:p>
        </w:tc>
      </w:tr>
      <w:tr>
        <w:trPr>
          <w:trHeight w:val="1417"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(оказание услуг)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04 2 00 70172</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39 100,00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Предоставление меры стимулирования работников муниципальных учреждений социального обслуживания в виде пособий и компенсации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04 3 00 70190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16 800,00</w:t>
            </w:r>
          </w:p>
        </w:tc>
        <w:tc>
          <w:tcPr>
            <w:tcW w:w="27" w:type="dxa"/>
            <w:tcBorders/>
          </w:tcPr>
          <w:p>
            <w:pPr>
              <w:pStyle w:val="Normal"/>
              <w:spacing w:before="0" w:after="200"/>
              <w:rPr/>
            </w:pPr>
            <w:r>
              <w:rPr/>
            </w:r>
          </w:p>
        </w:tc>
      </w:tr>
      <w:tr>
        <w:trPr>
          <w:trHeight w:val="596"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помощь и организация мероприятий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04 1 00 15010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10 279 674,99</w:t>
            </w:r>
          </w:p>
        </w:tc>
        <w:tc>
          <w:tcPr>
            <w:tcW w:w="27" w:type="dxa"/>
            <w:tcBorders/>
          </w:tcPr>
          <w:p>
            <w:pPr>
              <w:pStyle w:val="Normal"/>
              <w:spacing w:before="0" w:after="200"/>
              <w:rPr/>
            </w:pPr>
            <w:r>
              <w:rPr/>
            </w:r>
          </w:p>
        </w:tc>
      </w:tr>
      <w:tr>
        <w:trPr>
          <w:trHeight w:val="111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помощь и организация мероприятий для ветеранов Великой Отечественной войны 1941 - 1945 годов за счет безвозмездных поступлений в бюджет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04 1 00 16040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610 744,80</w:t>
            </w:r>
          </w:p>
        </w:tc>
        <w:tc>
          <w:tcPr>
            <w:tcW w:w="27" w:type="dxa"/>
            <w:tcBorders/>
          </w:tcPr>
          <w:p>
            <w:pPr>
              <w:pStyle w:val="Normal"/>
              <w:spacing w:before="0" w:after="200"/>
              <w:rPr/>
            </w:pPr>
            <w:r>
              <w:rPr/>
            </w:r>
          </w:p>
        </w:tc>
      </w:tr>
      <w:tr>
        <w:trPr>
          <w:trHeight w:val="97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помощь и организация мероприятий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04 2 00 15010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75,00</w:t>
            </w:r>
          </w:p>
        </w:tc>
        <w:tc>
          <w:tcPr>
            <w:tcW w:w="27" w:type="dxa"/>
            <w:tcBorders/>
          </w:tcPr>
          <w:p>
            <w:pPr>
              <w:pStyle w:val="Normal"/>
              <w:spacing w:before="0" w:after="200"/>
              <w:rPr/>
            </w:pPr>
            <w:r>
              <w:rPr/>
            </w:r>
          </w:p>
        </w:tc>
      </w:tr>
      <w:tr>
        <w:trPr>
          <w:trHeight w:val="699"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помощь и организация мероприятий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04 2 00 15010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2 550 405,00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мер социальной поддержки ветеранов труда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04 3 00 70010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1 130 092,00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мер социальной поддержки реабилитированных лиц и лиц, признанных пострадавшими от политических репрессий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04 3 00 70030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22 495,00</w:t>
            </w:r>
          </w:p>
        </w:tc>
        <w:tc>
          <w:tcPr>
            <w:tcW w:w="27" w:type="dxa"/>
            <w:tcBorders/>
          </w:tcPr>
          <w:p>
            <w:pPr>
              <w:pStyle w:val="Normal"/>
              <w:spacing w:before="0" w:after="200"/>
              <w:rPr/>
            </w:pPr>
            <w:r>
              <w:rPr/>
            </w:r>
          </w:p>
        </w:tc>
      </w:tr>
      <w:tr>
        <w:trPr>
          <w:trHeight w:val="896"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мер социальной поддержки отдельных категорий многодетных матерей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04 3 00 70060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35 010,00</w:t>
            </w:r>
          </w:p>
        </w:tc>
        <w:tc>
          <w:tcPr>
            <w:tcW w:w="27" w:type="dxa"/>
            <w:tcBorders/>
          </w:tcPr>
          <w:p>
            <w:pPr>
              <w:pStyle w:val="Normal"/>
              <w:spacing w:before="0" w:after="200"/>
              <w:rPr/>
            </w:pPr>
            <w:r>
              <w:rPr/>
            </w:r>
          </w:p>
        </w:tc>
      </w:tr>
      <w:tr>
        <w:trPr>
          <w:trHeight w:val="1249"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поддержка отдельных категорий семей в форме оснащения жилых помещений автономными дымовыми пожарными извещателями и (или) датчиками (извещателями) угарного газа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04 3 00 71510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148 661,66</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Выплата социального пособия на погребение и возмещение расходов по гарантированному перечню услуг по погребению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04 3 00 80110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712,55</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Выплата социального пособия на погребение и возмещение расходов по гарантированному перечню услуг по погребению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04 3 00 80110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919 161,05</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Ежемесячная денежная выплата «Пенсии Прокопьевского муниципального округа»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04 3 00 85010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14 937,35</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Ежемесячная денежная выплата «Пенсии Прокопьевского муниципального округа»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04 3 00 85010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2 587 687,10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Ежемесячная денежная выплата гражданам, удостоенным звания «Почетный гражданин Прокопьевского муниципального округа»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04 3 00 85060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9 995,40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Ежемесячная денежная выплата гражданам, удостоенным звания «Почетный гражданин Прокопьевского муниципального округа»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04 3 00 85060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4 296 289,00</w:t>
            </w:r>
          </w:p>
        </w:tc>
        <w:tc>
          <w:tcPr>
            <w:tcW w:w="27" w:type="dxa"/>
            <w:tcBorders/>
          </w:tcPr>
          <w:p>
            <w:pPr>
              <w:pStyle w:val="Normal"/>
              <w:spacing w:before="0" w:after="200"/>
              <w:rPr/>
            </w:pPr>
            <w:r>
              <w:rPr/>
            </w:r>
          </w:p>
        </w:tc>
      </w:tr>
      <w:tr>
        <w:trPr>
          <w:trHeight w:val="841"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Меры социальной поддержки членам семей граждан, принимавших участие в специальной военной операции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04 3 00 85100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8 400 000,00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помощь и организация мероприятий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05 0 00 15010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54 996,00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Единовременная  денежная выплата многодетным матерям при рождении 3-го или последующих детей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04 2 00 85040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630,00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Единовременная  денежная выплата многодетным матерям при рождении 3-го или последующих детей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04 2 00 85040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586 211,00</w:t>
            </w:r>
          </w:p>
        </w:tc>
        <w:tc>
          <w:tcPr>
            <w:tcW w:w="27" w:type="dxa"/>
            <w:tcBorders/>
          </w:tcPr>
          <w:p>
            <w:pPr>
              <w:pStyle w:val="Normal"/>
              <w:spacing w:before="0" w:after="200"/>
              <w:rPr/>
            </w:pPr>
            <w:r>
              <w:rPr/>
            </w:r>
          </w:p>
        </w:tc>
      </w:tr>
      <w:tr>
        <w:trPr>
          <w:trHeight w:val="664"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Финансовое обеспечение наградной системы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02 3 00 10660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1 721 686,00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Создание системы долговременного ухода за гражданами пожилого возраста и инвалидами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1 Я4 51630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6 002 300,00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04 4 00 19040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183 508,62</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04 4 00 19040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9 690,00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04 4 00 19040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237 399,00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поддержка и социальное обслуживание населения в части содержания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04 4 00 70280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23 286 100,00</w:t>
            </w:r>
          </w:p>
        </w:tc>
        <w:tc>
          <w:tcPr>
            <w:tcW w:w="27" w:type="dxa"/>
            <w:tcBorders/>
          </w:tcPr>
          <w:p>
            <w:pPr>
              <w:pStyle w:val="Normal"/>
              <w:spacing w:before="0" w:after="200"/>
              <w:rPr/>
            </w:pPr>
            <w:r>
              <w:rPr/>
            </w:r>
          </w:p>
        </w:tc>
      </w:tr>
      <w:tr>
        <w:trPr>
          <w:trHeight w:val="1171"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поддержка и социальное обслуживание населения в части содержания органов местного самоуправления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04 4 00 70280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1 940 881,24</w:t>
            </w:r>
          </w:p>
        </w:tc>
        <w:tc>
          <w:tcPr>
            <w:tcW w:w="27" w:type="dxa"/>
            <w:tcBorders/>
          </w:tcPr>
          <w:p>
            <w:pPr>
              <w:pStyle w:val="Normal"/>
              <w:spacing w:before="0" w:after="200"/>
              <w:rPr/>
            </w:pPr>
            <w:r>
              <w:rPr/>
            </w:r>
          </w:p>
        </w:tc>
      </w:tr>
      <w:tr>
        <w:trPr>
          <w:trHeight w:val="833"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поддержка и социальное обслуживание населения в части содержания органов местного самоуправления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04 4 00 70280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11 489,24</w:t>
            </w:r>
          </w:p>
        </w:tc>
        <w:tc>
          <w:tcPr>
            <w:tcW w:w="27" w:type="dxa"/>
            <w:tcBorders/>
          </w:tcPr>
          <w:p>
            <w:pPr>
              <w:pStyle w:val="Normal"/>
              <w:spacing w:before="0" w:after="200"/>
              <w:rPr/>
            </w:pPr>
            <w:r>
              <w:rPr/>
            </w:r>
          </w:p>
        </w:tc>
      </w:tr>
      <w:tr>
        <w:trPr>
          <w:trHeight w:val="846"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Социальная поддержка и социальное обслуживание населения в части содержания органов местного самоуправления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915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04 4 00 70280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2 400,00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Финансовое управление администрации Прокопьевкого муниципального округа</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955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17 480 979,91</w:t>
            </w:r>
          </w:p>
        </w:tc>
        <w:tc>
          <w:tcPr>
            <w:tcW w:w="27" w:type="dxa"/>
            <w:tcBorders/>
          </w:tcPr>
          <w:p>
            <w:pPr>
              <w:pStyle w:val="Normal"/>
              <w:spacing w:before="0" w:after="200"/>
              <w:rPr/>
            </w:pPr>
            <w:r>
              <w:rPr/>
            </w:r>
          </w:p>
        </w:tc>
      </w:tr>
      <w:tr>
        <w:trPr>
          <w:trHeight w:val="612"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Финансовое обеспечение наградной системы (социальное обеспечение и иные выплаты населению)</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955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02 3 00 10660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322 982,00</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955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17 0 00 19040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15 523 718,66</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955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17 0 00 19040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1 003 858,89</w:t>
            </w:r>
          </w:p>
        </w:tc>
        <w:tc>
          <w:tcPr>
            <w:tcW w:w="27" w:type="dxa"/>
            <w:tcBorders/>
          </w:tcPr>
          <w:p>
            <w:pPr>
              <w:pStyle w:val="Normal"/>
              <w:spacing w:before="0" w:after="200"/>
              <w:rPr/>
            </w:pPr>
            <w:r>
              <w:rPr/>
            </w:r>
          </w:p>
        </w:tc>
      </w:tr>
      <w:tr>
        <w:trPr>
          <w:trHeight w:val="945"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органов местного самоуправления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955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17 0 00 19040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8 145,00</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Исполнение судебных актов по искам к муниципальному образованию Прокопьевский муниципальный округ о взыскании денежных средств за счет средств казны муниципального образования Прокопьевский муниципальный округ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955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90 0 00 19120</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sz w:val="24"/>
                <w:szCs w:val="24"/>
                <w:lang w:eastAsia="ru-RU"/>
              </w:rPr>
              <w:t>324 677,04</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Компенсация (возмещение) выпадающих доходов теплоснабжающих организаций, организаций, осуществляющих горячее водоснабжение, реализацию твердого топлива, возникающих при применении льготных цен (тарифов) (теплоснабжение, горячее водоснабжение) (иные бюджетные ассигнования)</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955</w:t>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 4 00 9Т011</w:t>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800</w:t>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297 598,32</w:t>
            </w:r>
          </w:p>
        </w:tc>
        <w:tc>
          <w:tcPr>
            <w:tcW w:w="27" w:type="dxa"/>
            <w:tcBorders/>
          </w:tcPr>
          <w:p>
            <w:pPr>
              <w:pStyle w:val="Normal"/>
              <w:spacing w:before="0" w:after="200"/>
              <w:rPr/>
            </w:pPr>
            <w:r>
              <w:rPr/>
            </w:r>
          </w:p>
        </w:tc>
      </w:tr>
      <w:tr>
        <w:trPr>
          <w:trHeight w:val="630" w:hRule="atLeast"/>
        </w:trPr>
        <w:tc>
          <w:tcPr>
            <w:tcW w:w="7468" w:type="dxa"/>
            <w:gridSpan w:val="7"/>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итого</w:t>
            </w:r>
          </w:p>
        </w:tc>
        <w:tc>
          <w:tcPr>
            <w:tcW w:w="1168"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31"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713"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82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810" w:type="dxa"/>
            <w:gridSpan w:val="2"/>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47"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bCs/>
                <w:sz w:val="24"/>
                <w:szCs w:val="24"/>
                <w:lang w:eastAsia="ru-RU"/>
              </w:rPr>
              <w:t>4 620 354 518,09</w:t>
            </w:r>
          </w:p>
        </w:tc>
        <w:tc>
          <w:tcPr>
            <w:tcW w:w="27" w:type="dxa"/>
            <w:tcBorders/>
          </w:tcPr>
          <w:p>
            <w:pPr>
              <w:pStyle w:val="Normal"/>
              <w:spacing w:before="0" w:after="200"/>
              <w:rPr/>
            </w:pPr>
            <w:r>
              <w:rPr/>
            </w:r>
          </w:p>
        </w:tc>
      </w:tr>
    </w:tbl>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993" w:leader="none"/>
        </w:tabs>
        <w:spacing w:lineRule="auto" w:line="240" w:before="0" w:after="0"/>
        <w:ind w:firstLine="142" w:left="-14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Председатель Совета народных депутатов     </w:t>
      </w:r>
    </w:p>
    <w:p>
      <w:pPr>
        <w:pStyle w:val="Normal"/>
        <w:tabs>
          <w:tab w:val="clear" w:pos="708"/>
          <w:tab w:val="left" w:pos="993" w:leader="none"/>
          <w:tab w:val="left" w:pos="7726"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Прокопьевского муниципального  округа                                                                                                     И.А. Лошманкина</w:t>
      </w:r>
    </w:p>
    <w:p>
      <w:pPr>
        <w:sectPr>
          <w:type w:val="nextPage"/>
          <w:pgSz w:orient="landscape" w:w="16838" w:h="11906"/>
          <w:pgMar w:left="1134" w:right="851" w:gutter="0" w:header="0" w:top="993" w:footer="0" w:bottom="1843"/>
          <w:pgNumType w:fmt="decimal"/>
          <w:formProt w:val="false"/>
          <w:textDirection w:val="lrTb"/>
          <w:docGrid w:type="default" w:linePitch="360" w:charSpace="8192"/>
        </w:sect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left="5954"/>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Приложение 3 к решению Совета народных депутатов Прокопьевского муниципального округа от                                2026 года</w:t>
      </w:r>
    </w:p>
    <w:p>
      <w:pPr>
        <w:pStyle w:val="Normal"/>
        <w:spacing w:lineRule="auto" w:line="240" w:before="0" w:after="0"/>
        <w:ind w:left="949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t xml:space="preserve">Показатели расходов бюджета Прокопьевского муниципального округа за 2025 год  по разделам и подразделам классификации </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345" w:type="dxa"/>
        <w:jc w:val="left"/>
        <w:tblInd w:w="93" w:type="dxa"/>
        <w:tblLayout w:type="fixed"/>
        <w:tblCellMar>
          <w:top w:w="0" w:type="dxa"/>
          <w:left w:w="108" w:type="dxa"/>
          <w:bottom w:w="0" w:type="dxa"/>
          <w:right w:w="108" w:type="dxa"/>
        </w:tblCellMar>
        <w:tblLook w:noVBand="1" w:val="04a0" w:noHBand="0" w:lastColumn="0" w:firstColumn="1" w:lastRow="0" w:firstRow="1"/>
      </w:tblPr>
      <w:tblGrid>
        <w:gridCol w:w="4980"/>
        <w:gridCol w:w="1140"/>
        <w:gridCol w:w="1065"/>
        <w:gridCol w:w="2160"/>
      </w:tblGrid>
      <w:tr>
        <w:trPr>
          <w:trHeight w:val="675" w:hRule="atLeast"/>
        </w:trPr>
        <w:tc>
          <w:tcPr>
            <w:tcW w:w="49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w:t>
            </w:r>
          </w:p>
        </w:tc>
        <w:tc>
          <w:tcPr>
            <w:tcW w:w="1140"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Раздел</w:t>
            </w:r>
          </w:p>
        </w:tc>
        <w:tc>
          <w:tcPr>
            <w:tcW w:w="1065" w:type="dxa"/>
            <w:tcBorders>
              <w:top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Под-раздел</w:t>
            </w:r>
          </w:p>
        </w:tc>
        <w:tc>
          <w:tcPr>
            <w:tcW w:w="2160" w:type="dxa"/>
            <w:tcBorders>
              <w:top w:val="single" w:sz="4" w:space="0" w:color="000000"/>
              <w:bottom w:val="single" w:sz="4" w:space="0" w:color="000000"/>
              <w:right w:val="single" w:sz="4" w:space="0" w:color="000000"/>
            </w:tcBorders>
            <w:shd w:color="FFFFCC" w:fill="FFFFFF"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2025</w:t>
            </w:r>
          </w:p>
        </w:tc>
      </w:tr>
      <w:tr>
        <w:trPr>
          <w:trHeight w:val="345" w:hRule="atLeast"/>
        </w:trPr>
        <w:tc>
          <w:tcPr>
            <w:tcW w:w="4980"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1140"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1065" w:type="dxa"/>
            <w:tcBorders>
              <w:bottom w:val="single" w:sz="4" w:space="0" w:color="000000"/>
              <w:right w:val="single" w:sz="4" w:space="0" w:color="000000"/>
            </w:tcBorders>
            <w:shd w:color="auto" w:fill="auto"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r>
          </w:p>
        </w:tc>
        <w:tc>
          <w:tcPr>
            <w:tcW w:w="2160" w:type="dxa"/>
            <w:tcBorders>
              <w:bottom w:val="single" w:sz="4" w:space="0" w:color="000000"/>
              <w:right w:val="single" w:sz="4" w:space="0" w:color="000000"/>
            </w:tcBorders>
            <w:shd w:color="FFFFCC" w:fill="FFFFFF" w:val="clear"/>
            <w:vAlign w:val="cente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Общегосударственные вопросы</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01</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190 685 879,22</w:t>
            </w:r>
          </w:p>
        </w:tc>
      </w:tr>
      <w:tr>
        <w:trPr>
          <w:trHeight w:val="63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Функционирование высшего должностного лица субъекта Российской Федерации и муниципального образования</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4 009 933,94</w:t>
            </w:r>
          </w:p>
        </w:tc>
      </w:tr>
      <w:tr>
        <w:trPr>
          <w:trHeight w:val="72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5 832 863,84</w:t>
            </w:r>
          </w:p>
        </w:tc>
      </w:tr>
      <w:tr>
        <w:trPr>
          <w:trHeight w:val="795" w:hRule="atLeast"/>
        </w:trPr>
        <w:tc>
          <w:tcPr>
            <w:tcW w:w="4980" w:type="dxa"/>
            <w:tcBorders>
              <w:left w:val="single" w:sz="4" w:space="0" w:color="000000"/>
              <w:bottom w:val="single" w:sz="4" w:space="0" w:color="000000"/>
              <w:right w:val="single" w:sz="4" w:space="0" w:color="000000"/>
            </w:tcBorders>
            <w:shd w:color="auto" w:fill="auto" w:val="clear"/>
          </w:tcPr>
          <w:p>
            <w:pPr>
              <w:pStyle w:val="Normal"/>
              <w:tabs>
                <w:tab w:val="clear" w:pos="708"/>
                <w:tab w:val="left" w:pos="5550" w:leader="none"/>
              </w:tabs>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113 977 982,16</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Судебная система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3 800,00</w:t>
            </w:r>
          </w:p>
        </w:tc>
      </w:tr>
      <w:tr>
        <w:trPr>
          <w:trHeight w:val="72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20 041 134,42</w:t>
            </w:r>
          </w:p>
        </w:tc>
      </w:tr>
      <w:tr>
        <w:trPr>
          <w:trHeight w:val="39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Обеспечение проведения выборов и референдумов</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1 385 620,60</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Резервные фонды</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Другие общегосударственные вопросы</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45 434 544,26</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Национальная оборона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02</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4 199 700,00</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Мобилизационная и вневойсковая подготовка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4 199 700,00</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Национальная безопасность и правоохранительная деятельность</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03</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33 528 390,45</w:t>
            </w:r>
          </w:p>
        </w:tc>
      </w:tr>
      <w:tr>
        <w:trPr>
          <w:trHeight w:val="63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Защита населения и территории от чрезвычайных ситуаций природного и техногенного характера, гражданская оборона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19 084 665,57</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Первичные меры пожарной безопасности</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12 231 958,74</w:t>
            </w:r>
          </w:p>
        </w:tc>
      </w:tr>
      <w:tr>
        <w:trPr>
          <w:trHeight w:val="63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Другие вопросы в области национальной безопасности и правоохранительной деятельности</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2 211 766,14</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Национальная экономика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04</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421 914 788,70</w:t>
            </w:r>
          </w:p>
        </w:tc>
      </w:tr>
      <w:tr>
        <w:trPr>
          <w:trHeight w:val="30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Топливно-энергетический комплекс</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226 098 068,75</w:t>
            </w:r>
          </w:p>
        </w:tc>
      </w:tr>
      <w:tr>
        <w:trPr>
          <w:trHeight w:val="30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Сельское хозяйство и рыболовство</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26 873 703,25</w:t>
            </w:r>
          </w:p>
        </w:tc>
      </w:tr>
      <w:tr>
        <w:trPr>
          <w:trHeight w:val="30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Водное хозяйство</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360 260,00</w:t>
            </w:r>
          </w:p>
        </w:tc>
      </w:tr>
      <w:tr>
        <w:trPr>
          <w:trHeight w:val="30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Лесоустройство</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234 226,40</w:t>
            </w:r>
          </w:p>
        </w:tc>
      </w:tr>
      <w:tr>
        <w:trPr>
          <w:trHeight w:val="30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Транспорт</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1 741 128,97</w:t>
            </w:r>
          </w:p>
        </w:tc>
      </w:tr>
      <w:tr>
        <w:trPr>
          <w:trHeight w:val="30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Дорожное хозяйство (дорожные фонды)</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161 891 767,89</w:t>
            </w:r>
          </w:p>
        </w:tc>
      </w:tr>
      <w:tr>
        <w:trPr>
          <w:trHeight w:val="31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Другие вопросы в области национальной экономики</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4 715 633,44</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Жилищно-коммунальное хозяйство</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05</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866 837 524,18</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Жилищное хозяйство</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6 722 846,40</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Коммунальное хозяйство</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352 372 330,24</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Благоустройство</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275 305 126,87</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Другие вопросы в области жилищно-коммунального хозяйства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232 437 220,67</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Охрана окружающей среды</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06</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color w:val="000000"/>
                <w:sz w:val="24"/>
                <w:szCs w:val="24"/>
                <w:lang w:eastAsia="ru-RU"/>
              </w:rPr>
            </w:pPr>
            <w:r>
              <w:rPr>
                <w:rFonts w:eastAsia="Times New Roman" w:cs="Times New Roman" w:ascii="Times New Roman" w:hAnsi="Times New Roman"/>
                <w:b/>
                <w:bCs/>
                <w:color w:val="000000"/>
                <w:sz w:val="24"/>
                <w:szCs w:val="24"/>
                <w:lang w:eastAsia="ru-RU"/>
              </w:rPr>
              <w:t>9 288 184,00</w:t>
            </w:r>
          </w:p>
        </w:tc>
      </w:tr>
      <w:tr>
        <w:trPr>
          <w:trHeight w:val="42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Сбор, удаление отходов и очистка сточных вод</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679 744,00</w:t>
            </w:r>
          </w:p>
        </w:tc>
      </w:tr>
      <w:tr>
        <w:trPr>
          <w:trHeight w:val="42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Другие вопросы в области охраны окружающей среды</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8 608 440,00</w:t>
            </w:r>
          </w:p>
        </w:tc>
      </w:tr>
      <w:tr>
        <w:trPr>
          <w:trHeight w:val="30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Образование</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07</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2 332 726 947,89</w:t>
            </w:r>
          </w:p>
        </w:tc>
      </w:tr>
      <w:tr>
        <w:trPr>
          <w:trHeight w:val="34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Дошкольное образование</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292 796 782,67</w:t>
            </w:r>
          </w:p>
        </w:tc>
      </w:tr>
      <w:tr>
        <w:trPr>
          <w:trHeight w:val="34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Общее образование</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1 532 949 257,72</w:t>
            </w:r>
          </w:p>
        </w:tc>
      </w:tr>
      <w:tr>
        <w:trPr>
          <w:trHeight w:val="34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Дополнительное образование</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225 763 842,88</w:t>
            </w:r>
          </w:p>
        </w:tc>
      </w:tr>
      <w:tr>
        <w:trPr>
          <w:trHeight w:val="34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Профессиональная подготовка, переподготовка и повышение квалификации</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w:t>
            </w:r>
          </w:p>
        </w:tc>
      </w:tr>
      <w:tr>
        <w:trPr>
          <w:trHeight w:val="30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Молодежная политика и оздоровление детей</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6 837 458,34</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Другие вопросы в области образования</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274 379 606,28</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Культура, кинематография</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08</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465 940 588,74</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Культура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347 728 302,20</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Другие вопросы в области культуры, кинематографии</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118 212 286,54</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Социальная политика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10</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273 621 943,93</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Пенсионное обеспечение</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6 435 898,92</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Социальное обслуживание населения</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107 207 476,96</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Социальное обеспечение населения</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37 800 711,59</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Охрана семьи и детства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88 782 402,36</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Другие вопросы в области социальной политики</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33 395 454,10</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Физическая культура и спорт</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11</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9 181 143,64</w:t>
            </w:r>
          </w:p>
        </w:tc>
      </w:tr>
      <w:tr>
        <w:trPr>
          <w:trHeight w:val="360"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Массовый спорт</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9 181 143,64</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Средства массовой информации</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12</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12 205 700,00</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Периодическая печать и издательства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12 205 700,00</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Обслуживание государственного и муниципального долга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13</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223 727,34</w:t>
            </w:r>
          </w:p>
        </w:tc>
      </w:tr>
      <w:tr>
        <w:trPr>
          <w:trHeight w:val="37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Обслуживание государственного внутреннего и муниципального долга</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w:t>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223 727,34</w:t>
            </w:r>
          </w:p>
        </w:tc>
      </w:tr>
      <w:tr>
        <w:trPr>
          <w:trHeight w:val="375" w:hRule="atLeast"/>
        </w:trPr>
        <w:tc>
          <w:tcPr>
            <w:tcW w:w="4980" w:type="dxa"/>
            <w:tcBorders>
              <w:left w:val="single" w:sz="4" w:space="0" w:color="000000"/>
              <w:bottom w:val="single" w:sz="4" w:space="0" w:color="000000"/>
              <w:right w:val="single" w:sz="4" w:space="0" w:color="000000"/>
            </w:tcBorders>
            <w:shd w:color="FFFFCC" w:fill="FFFFFF"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Условно утвержденные расходы</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r>
      <w:tr>
        <w:trPr>
          <w:trHeight w:val="435" w:hRule="atLeast"/>
        </w:trPr>
        <w:tc>
          <w:tcPr>
            <w:tcW w:w="4980" w:type="dxa"/>
            <w:tcBorders>
              <w:left w:val="single" w:sz="4" w:space="0" w:color="000000"/>
              <w:bottom w:val="single" w:sz="4" w:space="0" w:color="000000"/>
              <w:right w:val="single" w:sz="4" w:space="0" w:color="000000"/>
            </w:tcBorders>
            <w:shd w:color="auto" w:fill="auto"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Итого</w:t>
            </w:r>
          </w:p>
        </w:tc>
        <w:tc>
          <w:tcPr>
            <w:tcW w:w="1140"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1065" w:type="dxa"/>
            <w:tcBorders>
              <w:bottom w:val="single" w:sz="4" w:space="0" w:color="000000"/>
              <w:right w:val="single" w:sz="4" w:space="0" w:color="000000"/>
            </w:tcBorders>
            <w:shd w:color="auto" w:fill="auto"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r>
          </w:p>
        </w:tc>
        <w:tc>
          <w:tcPr>
            <w:tcW w:w="2160" w:type="dxa"/>
            <w:tcBorders>
              <w:bottom w:val="single" w:sz="4" w:space="0" w:color="000000"/>
              <w:right w:val="single" w:sz="4" w:space="0" w:color="000000"/>
            </w:tcBorders>
            <w:shd w:color="FFFFCC" w:fill="FFFFFF"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4 620 354 518,09</w:t>
            </w:r>
          </w:p>
        </w:tc>
      </w:tr>
    </w:tbl>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993" w:leader="none"/>
        </w:tabs>
        <w:spacing w:lineRule="auto" w:line="240" w:before="0" w:after="0"/>
        <w:ind w:firstLine="142" w:left="-14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Председатель Совета народных депутатов     </w:t>
      </w:r>
    </w:p>
    <w:p>
      <w:pPr>
        <w:sectPr>
          <w:type w:val="nextPage"/>
          <w:pgSz w:w="11906" w:h="16838"/>
          <w:pgMar w:left="1701" w:right="851" w:gutter="0" w:header="0" w:top="851" w:footer="0" w:bottom="851"/>
          <w:pgNumType w:fmt="decimal"/>
          <w:formProt w:val="false"/>
          <w:textDirection w:val="lrTb"/>
          <w:docGrid w:type="default" w:linePitch="360" w:charSpace="8192"/>
        </w:sectPr>
        <w:pStyle w:val="Normal"/>
        <w:tabs>
          <w:tab w:val="clear" w:pos="708"/>
          <w:tab w:val="left" w:pos="993" w:leader="none"/>
          <w:tab w:val="left" w:pos="7726"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Прокопьевского муниципального  округа                              И.А. Лошманкина</w:t>
      </w:r>
    </w:p>
    <w:p>
      <w:pPr>
        <w:pStyle w:val="Normal"/>
        <w:spacing w:lineRule="auto" w:line="240" w:before="0" w:after="0"/>
        <w:ind w:left="9781"/>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Приложение 4 к решению Совета народных депутатов Прокопьевского муниципального округа от                                2026 года</w:t>
      </w:r>
    </w:p>
    <w:p>
      <w:pPr>
        <w:pStyle w:val="Normal"/>
        <w:tabs>
          <w:tab w:val="clear" w:pos="708"/>
          <w:tab w:val="left" w:pos="993" w:leader="none"/>
          <w:tab w:val="left" w:pos="7726"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center"/>
        <w:rPr>
          <w:rFonts w:ascii="Times New Roman" w:hAnsi="Times New Roman" w:eastAsia="Times New Roman" w:cs="Times New Roman"/>
          <w:sz w:val="28"/>
          <w:szCs w:val="24"/>
          <w:lang w:eastAsia="ru-RU"/>
        </w:rPr>
      </w:pPr>
      <w:r>
        <w:rPr>
          <w:rFonts w:eastAsia="Times New Roman" w:cs="Times New Roman" w:ascii="Times New Roman" w:hAnsi="Times New Roman"/>
          <w:sz w:val="28"/>
          <w:szCs w:val="24"/>
          <w:lang w:eastAsia="ru-RU"/>
        </w:rPr>
        <w:t>Показатели источников финансирования дефицита бюджета Прокопьевского муниципального округа за 2025 год по кодам классификации источников финансирования дефицитов бюджетов</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4758" w:type="dxa"/>
        <w:jc w:val="left"/>
        <w:tblInd w:w="93" w:type="dxa"/>
        <w:tblLayout w:type="fixed"/>
        <w:tblCellMar>
          <w:top w:w="0" w:type="dxa"/>
          <w:left w:w="108" w:type="dxa"/>
          <w:bottom w:w="0" w:type="dxa"/>
          <w:right w:w="108" w:type="dxa"/>
        </w:tblCellMar>
        <w:tblLook w:noVBand="1" w:val="04a0" w:noHBand="0" w:lastColumn="0" w:firstColumn="1" w:lastRow="0" w:firstRow="1"/>
      </w:tblPr>
      <w:tblGrid>
        <w:gridCol w:w="4409"/>
        <w:gridCol w:w="8235"/>
        <w:gridCol w:w="2114"/>
      </w:tblGrid>
      <w:tr>
        <w:trPr>
          <w:trHeight w:val="31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Код</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2025</w:t>
            </w:r>
          </w:p>
        </w:tc>
      </w:tr>
      <w:tr>
        <w:trPr>
          <w:trHeight w:val="300"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vAlign w:val="bottom"/>
          </w:tcPr>
          <w:p>
            <w:pPr>
              <w:pStyle w:val="Normal"/>
              <w:suppressAutoHyphens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vAlign w:val="bottom"/>
          </w:tcPr>
          <w:p>
            <w:pPr>
              <w:pStyle w:val="Normal"/>
              <w:suppressAutoHyphens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vAlign w:val="bottom"/>
          </w:tcPr>
          <w:p>
            <w:pPr>
              <w:pStyle w:val="Normal"/>
              <w:suppressAutoHyphens w:val="false"/>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w:t>
            </w:r>
          </w:p>
        </w:tc>
      </w:tr>
      <w:tr>
        <w:trPr>
          <w:trHeight w:val="43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000 01 00 00 00 00 0000 000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Источники внутреннего финансирования дефицитов бюджетов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-7 558 563,64</w:t>
            </w:r>
          </w:p>
        </w:tc>
      </w:tr>
      <w:tr>
        <w:trPr>
          <w:trHeight w:val="390"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000 01 03 00 00 00 0000 000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Бюджетные кредиты из других бюджетов бюджетной системы Российской Федерации</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-85 933 333,34</w:t>
            </w:r>
          </w:p>
        </w:tc>
      </w:tr>
      <w:tr>
        <w:trPr>
          <w:trHeight w:val="70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000 01 03 01 00 00 0000 000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Бюджетные кредиты из других бюджетов бюджетной системы Российской Федерации в валюте Российской Федерации</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-85 933 333,34</w:t>
            </w:r>
          </w:p>
        </w:tc>
      </w:tr>
      <w:tr>
        <w:trPr>
          <w:trHeight w:val="94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000 01 03 01 00 00 0000 700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Привлечение бюджетных кредитов из других бюджетов бюджетной системы Российской Федерации в валюте Российской Федерации</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53 000 000,00</w:t>
            </w:r>
          </w:p>
        </w:tc>
      </w:tr>
      <w:tr>
        <w:trPr>
          <w:trHeight w:val="73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000 01 03 01 00 14 0000 710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24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Привлечение кредитов из других бюджетов бюджетной системы Российской Федерации бюджетами муниципальных округов в валюте Российской Федерации</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53 000 000,00</w:t>
            </w:r>
          </w:p>
        </w:tc>
      </w:tr>
      <w:tr>
        <w:trPr>
          <w:trHeight w:val="94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000 01 03 01 00 14 2900 710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Привлечение кредитов из других бюджетов бюджетной системы Российской Федерации  бюджетами муниципальных округов в валюте Российской Федерации (бюджетные кредиты, предоставленные в целях погашения долговых обязательств)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53 000 000,00</w:t>
            </w:r>
          </w:p>
        </w:tc>
      </w:tr>
      <w:tr>
        <w:trPr>
          <w:trHeight w:val="390"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000 01 03 01 00 00 0000 800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Погашение бюджетных кредитов, полученных из других бюджетов бюджетной системы Российской Федерации в валюте Российской Федерации</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-138 933 333,34</w:t>
            </w:r>
          </w:p>
        </w:tc>
      </w:tr>
      <w:tr>
        <w:trPr>
          <w:trHeight w:val="720"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000 01 03 01 00 14 0000 810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24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Погашение бюджетами муниципальных округов кредитов из других бюджетов бюджетной системы Российской Федерации в валюте Российской Федерации</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-138 933 333,34</w:t>
            </w:r>
          </w:p>
        </w:tc>
      </w:tr>
      <w:tr>
        <w:trPr>
          <w:trHeight w:val="94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000 01 03 01 00 14 5000 810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Погашение кредитов из других бюджетов бюджетной системы Российской Федерации  бюджетами муниципальных округов в валюте Российской Федерации (бюджетные кредиты, предоставленные для частичного покрытия дефицитов бюджетов)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-134 000 000,00</w:t>
            </w:r>
          </w:p>
        </w:tc>
      </w:tr>
      <w:tr>
        <w:trPr>
          <w:trHeight w:val="94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000 01 03 01 00 14 2900 810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Погашение кредитов из других бюджетов бюджетной системы Российской Федерации  бюджетами муниципальных округов в валюте Российской Федерации (бюджетные кредиты, предоставленные в целях погашения долговых обязательств)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-4 933 333,34</w:t>
            </w:r>
          </w:p>
        </w:tc>
      </w:tr>
      <w:tr>
        <w:trPr>
          <w:trHeight w:val="31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000 01 05 00 00 00 0000 000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Изменение остатков средств на счетах по учету средств бюджетов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78 374 769,70</w:t>
            </w:r>
          </w:p>
        </w:tc>
      </w:tr>
      <w:tr>
        <w:trPr>
          <w:trHeight w:val="360"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000 01 05 00 00 00 0000 500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Увеличение остатков средств бюджетов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-4 714 369 591,76</w:t>
            </w:r>
          </w:p>
        </w:tc>
      </w:tr>
      <w:tr>
        <w:trPr>
          <w:trHeight w:val="360"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000 01 05 02 00 00 0000 500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Увеличение прочих остатков</w:t>
            </w:r>
            <w:bookmarkStart w:id="1" w:name="_GoBack"/>
            <w:bookmarkEnd w:id="1"/>
            <w:r>
              <w:rPr>
                <w:rFonts w:eastAsia="Times New Roman" w:cs="Times New Roman" w:ascii="Times New Roman" w:hAnsi="Times New Roman"/>
                <w:sz w:val="24"/>
                <w:szCs w:val="24"/>
                <w:lang w:eastAsia="ru-RU"/>
              </w:rPr>
              <w:t xml:space="preserve"> средств бюджетов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-4 714 369 591,76</w:t>
            </w:r>
          </w:p>
        </w:tc>
      </w:tr>
      <w:tr>
        <w:trPr>
          <w:trHeight w:val="360"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000 01 05 02 01 00 0000 510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Увеличение прочих остатков денежных средств бюджетов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-4 714 369 591,76</w:t>
            </w:r>
          </w:p>
        </w:tc>
      </w:tr>
      <w:tr>
        <w:trPr>
          <w:trHeight w:val="37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000 01 05 02 01 14 0000 510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Увеличение прочих остатков денежных средств бюджетов муниципальных округов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-4 714 369 591,76</w:t>
            </w:r>
          </w:p>
        </w:tc>
      </w:tr>
      <w:tr>
        <w:trPr>
          <w:trHeight w:val="390"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000 01 05 00 00 00 0000 600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Уменьшение остатков средств бюджетов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4 792 744 361,46</w:t>
            </w:r>
          </w:p>
        </w:tc>
      </w:tr>
      <w:tr>
        <w:trPr>
          <w:trHeight w:val="390"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000 01 05 02 00 00 0000 600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Уменьшение прочих остатков средств бюджетов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4 792 744 361,46</w:t>
            </w:r>
          </w:p>
        </w:tc>
      </w:tr>
      <w:tr>
        <w:trPr>
          <w:trHeight w:val="420"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000 01 05 02 01 00 0000 610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Уменьшение прочих остатков денежных средств бюджетов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4 792 744 361,46</w:t>
            </w:r>
          </w:p>
        </w:tc>
      </w:tr>
      <w:tr>
        <w:trPr>
          <w:trHeight w:val="40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000 01 05 02 01 14 0000 610</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Уменьшение прочих остатков денежных средств бюджетов муниципальных округов</w:t>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4 792 744 361,46</w:t>
            </w:r>
          </w:p>
        </w:tc>
      </w:tr>
      <w:tr>
        <w:trPr>
          <w:trHeight w:val="315" w:hRule="atLeast"/>
        </w:trPr>
        <w:tc>
          <w:tcPr>
            <w:tcW w:w="4409"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Итого источников финансирования дефицита бюджета</w:t>
            </w:r>
          </w:p>
        </w:tc>
        <w:tc>
          <w:tcPr>
            <w:tcW w:w="823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114"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uppressAutoHyphens w:val="false"/>
              <w:spacing w:lineRule="auto" w:line="240" w:before="0" w:after="0"/>
              <w:jc w:val="right"/>
              <w:rPr>
                <w:rFonts w:ascii="Times New Roman" w:hAnsi="Times New Roman" w:eastAsia="Times New Roman" w:cs="Times New Roman"/>
                <w:b/>
                <w:bCs/>
                <w:sz w:val="24"/>
                <w:szCs w:val="24"/>
                <w:lang w:eastAsia="ru-RU"/>
              </w:rPr>
            </w:pPr>
            <w:r>
              <w:rPr>
                <w:rFonts w:eastAsia="Times New Roman" w:cs="Times New Roman" w:ascii="Times New Roman" w:hAnsi="Times New Roman"/>
                <w:b/>
                <w:bCs/>
                <w:sz w:val="24"/>
                <w:szCs w:val="24"/>
                <w:lang w:eastAsia="ru-RU"/>
              </w:rPr>
              <w:t>-7 558 563,64</w:t>
            </w:r>
          </w:p>
        </w:tc>
      </w:tr>
    </w:tbl>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993" w:leader="none"/>
        </w:tabs>
        <w:spacing w:lineRule="auto" w:line="240" w:before="0" w:after="0"/>
        <w:ind w:firstLine="142" w:left="-142"/>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Председатель Совета народных депутатов     </w:t>
      </w:r>
    </w:p>
    <w:p>
      <w:pPr>
        <w:pStyle w:val="Normal"/>
        <w:tabs>
          <w:tab w:val="clear" w:pos="708"/>
          <w:tab w:val="left" w:pos="993" w:leader="none"/>
          <w:tab w:val="left" w:pos="7726" w:leader="none"/>
        </w:tabs>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Прокопьевского муниципального  округа                                                                                                          И.А. Лошманкина</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sectPr>
      <w:type w:val="nextPage"/>
      <w:pgSz w:orient="landscape" w:w="16838" w:h="11906"/>
      <w:pgMar w:left="851" w:right="851" w:gutter="0" w:header="0" w:top="1276" w:footer="0"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Times New Roman">
    <w:charset w:val="01"/>
    <w:family w:val="roman"/>
    <w:pitch w:val="default"/>
  </w:font>
  <w:font w:name="Arial">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900"/>
        </w:tabs>
        <w:ind w:left="900" w:hanging="900"/>
      </w:pPr>
      <w:rPr>
        <w:b w:val="false"/>
        <w:color w:val="auto"/>
      </w:rPr>
    </w:lvl>
    <w:lvl w:ilvl="1">
      <w:start w:val="1"/>
      <w:numFmt w:val="lowerLetter"/>
      <w:lvlText w:val="%2."/>
      <w:lvlJc w:val="left"/>
      <w:pPr>
        <w:tabs>
          <w:tab w:val="num" w:pos="1080"/>
        </w:tabs>
        <w:ind w:left="1080" w:hanging="360"/>
      </w:pPr>
      <w:rPr/>
    </w:lvl>
    <w:lvl w:ilvl="2">
      <w:start w:val="1"/>
      <w:numFmt w:val="lowerRoman"/>
      <w:lvlText w:val="%3."/>
      <w:lvlJc w:val="right"/>
      <w:pPr>
        <w:tabs>
          <w:tab w:val="num" w:pos="1800"/>
        </w:tabs>
        <w:ind w:left="1800" w:hanging="180"/>
      </w:pPr>
      <w:rPr/>
    </w:lvl>
    <w:lvl w:ilvl="3">
      <w:start w:val="1"/>
      <w:numFmt w:val="decimal"/>
      <w:lvlText w:val="%4."/>
      <w:lvlJc w:val="left"/>
      <w:pPr>
        <w:tabs>
          <w:tab w:val="num" w:pos="2520"/>
        </w:tabs>
        <w:ind w:left="2520" w:hanging="360"/>
      </w:pPr>
      <w:rPr/>
    </w:lvl>
    <w:lvl w:ilvl="4">
      <w:start w:val="1"/>
      <w:numFmt w:val="lowerLetter"/>
      <w:lvlText w:val="%5."/>
      <w:lvlJc w:val="left"/>
      <w:pPr>
        <w:tabs>
          <w:tab w:val="num" w:pos="3240"/>
        </w:tabs>
        <w:ind w:left="3240" w:hanging="360"/>
      </w:pPr>
      <w:rPr/>
    </w:lvl>
    <w:lvl w:ilvl="5">
      <w:start w:val="1"/>
      <w:numFmt w:val="lowerRoman"/>
      <w:lvlText w:val="%6."/>
      <w:lvlJc w:val="right"/>
      <w:pPr>
        <w:tabs>
          <w:tab w:val="num" w:pos="3960"/>
        </w:tabs>
        <w:ind w:left="3960" w:hanging="180"/>
      </w:pPr>
      <w:rPr/>
    </w:lvl>
    <w:lvl w:ilvl="6">
      <w:start w:val="1"/>
      <w:numFmt w:val="decimal"/>
      <w:lvlText w:val="%7."/>
      <w:lvlJc w:val="left"/>
      <w:pPr>
        <w:tabs>
          <w:tab w:val="num" w:pos="4680"/>
        </w:tabs>
        <w:ind w:left="4680" w:hanging="360"/>
      </w:pPr>
      <w:rPr/>
    </w:lvl>
    <w:lvl w:ilvl="7">
      <w:start w:val="1"/>
      <w:numFmt w:val="lowerLetter"/>
      <w:lvlText w:val="%8."/>
      <w:lvlJc w:val="left"/>
      <w:pPr>
        <w:tabs>
          <w:tab w:val="num" w:pos="5400"/>
        </w:tabs>
        <w:ind w:left="5400" w:hanging="360"/>
      </w:pPr>
      <w:rPr/>
    </w:lvl>
    <w:lvl w:ilvl="8">
      <w:start w:val="1"/>
      <w:numFmt w:val="lowerRoman"/>
      <w:lvlText w:val="%9."/>
      <w:lvlJc w:val="right"/>
      <w:pPr>
        <w:tabs>
          <w:tab w:val="num" w:pos="6120"/>
        </w:tabs>
        <w:ind w:left="612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b4d83"/>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656bee"/>
    <w:rPr>
      <w:color w:val="0000FF"/>
      <w:u w:val="single"/>
    </w:rPr>
  </w:style>
  <w:style w:type="character" w:styleId="FollowedHyperlink">
    <w:name w:val="FollowedHyperlink"/>
    <w:basedOn w:val="DefaultParagraphFont"/>
    <w:uiPriority w:val="99"/>
    <w:semiHidden/>
    <w:unhideWhenUsed/>
    <w:rsid w:val="00656bee"/>
    <w:rPr>
      <w:color w:val="800080"/>
      <w:u w:val="single"/>
    </w:rPr>
  </w:style>
  <w:style w:type="paragraph" w:styleId="Style14" w:customStyle="1">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spacing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Caption11" w:customStyle="1">
    <w:name w:val="caption11"/>
    <w:basedOn w:val="Normal"/>
    <w:qFormat/>
    <w:pPr>
      <w:suppressLineNumbers/>
      <w:spacing w:before="120" w:after="120"/>
    </w:pPr>
    <w:rPr>
      <w:rFonts w:ascii="PT Astra Serif" w:hAnsi="PT Astra Serif" w:cs="Noto Sans Devanagari"/>
      <w:i/>
      <w:iCs/>
      <w:sz w:val="24"/>
      <w:szCs w:val="24"/>
    </w:rPr>
  </w:style>
  <w:style w:type="paragraph" w:styleId="Xl66" w:customStyle="1">
    <w:name w:val="xl66"/>
    <w:basedOn w:val="Normal"/>
    <w:qFormat/>
    <w:rsid w:val="00656bee"/>
    <w:pPr>
      <w:suppressAutoHyphens w:val="false"/>
      <w:spacing w:lineRule="auto" w:line="240" w:beforeAutospacing="1" w:afterAutospacing="1"/>
    </w:pPr>
    <w:rPr>
      <w:rFonts w:ascii="Times New Roman" w:hAnsi="Times New Roman" w:eastAsia="Times New Roman" w:cs="Times New Roman"/>
      <w:sz w:val="24"/>
      <w:szCs w:val="24"/>
      <w:lang w:eastAsia="ru-RU"/>
    </w:rPr>
  </w:style>
  <w:style w:type="paragraph" w:styleId="Xl67" w:customStyle="1">
    <w:name w:val="xl67"/>
    <w:basedOn w:val="Normal"/>
    <w:qFormat/>
    <w:rsid w:val="00656bee"/>
    <w:pPr>
      <w:suppressAutoHyphens w:val="false"/>
      <w:spacing w:lineRule="auto" w:line="240" w:beforeAutospacing="1" w:afterAutospacing="1"/>
      <w:textAlignment w:val="top"/>
    </w:pPr>
    <w:rPr>
      <w:rFonts w:ascii="Times New Roman" w:hAnsi="Times New Roman" w:eastAsia="Times New Roman" w:cs="Times New Roman"/>
      <w:sz w:val="24"/>
      <w:szCs w:val="24"/>
      <w:lang w:eastAsia="ru-RU"/>
    </w:rPr>
  </w:style>
  <w:style w:type="paragraph" w:styleId="Xl68" w:customStyle="1">
    <w:name w:val="xl68"/>
    <w:basedOn w:val="Normal"/>
    <w:qFormat/>
    <w:rsid w:val="00656bee"/>
    <w:pPr>
      <w:shd w:val="clear" w:color="FFFFCC" w:fill="FFFFFF"/>
      <w:suppressAutoHyphens w:val="false"/>
      <w:spacing w:lineRule="auto" w:line="240" w:beforeAutospacing="1" w:afterAutospacing="1"/>
      <w:jc w:val="center"/>
    </w:pPr>
    <w:rPr>
      <w:rFonts w:ascii="Times New Roman" w:hAnsi="Times New Roman" w:eastAsia="Times New Roman" w:cs="Times New Roman"/>
      <w:sz w:val="24"/>
      <w:szCs w:val="24"/>
      <w:lang w:eastAsia="ru-RU"/>
    </w:rPr>
  </w:style>
  <w:style w:type="paragraph" w:styleId="Xl69" w:customStyle="1">
    <w:name w:val="xl69"/>
    <w:basedOn w:val="Normal"/>
    <w:qFormat/>
    <w:rsid w:val="00656bee"/>
    <w:pPr>
      <w:pBdr>
        <w:bottom w:val="single" w:sz="8" w:space="0" w:color="000000"/>
      </w:pBdr>
      <w:shd w:val="clear" w:color="FFFFCC" w:fill="FFFFFF"/>
      <w:suppressAutoHyphens w:val="false"/>
      <w:spacing w:lineRule="auto" w:line="240" w:beforeAutospacing="1" w:afterAutospacing="1"/>
      <w:textAlignment w:val="top"/>
    </w:pPr>
    <w:rPr>
      <w:rFonts w:ascii="Times New Roman" w:hAnsi="Times New Roman" w:eastAsia="Times New Roman" w:cs="Times New Roman"/>
      <w:sz w:val="24"/>
      <w:szCs w:val="24"/>
      <w:lang w:eastAsia="ru-RU"/>
    </w:rPr>
  </w:style>
  <w:style w:type="paragraph" w:styleId="Xl70" w:customStyle="1">
    <w:name w:val="xl70"/>
    <w:basedOn w:val="Normal"/>
    <w:qFormat/>
    <w:rsid w:val="00656bee"/>
    <w:pPr>
      <w:pBdr>
        <w:bottom w:val="single" w:sz="8" w:space="0" w:color="000000"/>
      </w:pBdr>
      <w:shd w:val="clear" w:color="FFFFCC" w:fill="FFFFFF"/>
      <w:suppressAutoHyphens w:val="false"/>
      <w:spacing w:lineRule="auto" w:line="240" w:beforeAutospacing="1" w:afterAutospacing="1"/>
      <w:jc w:val="center"/>
      <w:textAlignment w:val="top"/>
    </w:pPr>
    <w:rPr>
      <w:rFonts w:ascii="Times New Roman" w:hAnsi="Times New Roman" w:eastAsia="Times New Roman" w:cs="Times New Roman"/>
      <w:sz w:val="24"/>
      <w:szCs w:val="24"/>
      <w:lang w:eastAsia="ru-RU"/>
    </w:rPr>
  </w:style>
  <w:style w:type="paragraph" w:styleId="Xl71" w:customStyle="1">
    <w:name w:val="xl71"/>
    <w:basedOn w:val="Normal"/>
    <w:qFormat/>
    <w:rsid w:val="00656bee"/>
    <w:pPr>
      <w:pBdr>
        <w:top w:val="single" w:sz="4" w:space="0" w:color="000000"/>
        <w:left w:val="single" w:sz="4" w:space="0" w:color="000000"/>
        <w:right w:val="single" w:sz="4" w:space="0" w:color="000000"/>
      </w:pBdr>
      <w:suppressAutoHyphens w:val="false"/>
      <w:spacing w:lineRule="auto" w:line="240" w:beforeAutospacing="1" w:afterAutospacing="1"/>
      <w:jc w:val="center"/>
      <w:textAlignment w:val="center"/>
    </w:pPr>
    <w:rPr>
      <w:rFonts w:ascii="Times New Roman" w:hAnsi="Times New Roman" w:eastAsia="Times New Roman" w:cs="Times New Roman"/>
      <w:b/>
      <w:bCs/>
      <w:sz w:val="24"/>
      <w:szCs w:val="24"/>
      <w:lang w:eastAsia="ru-RU"/>
    </w:rPr>
  </w:style>
  <w:style w:type="paragraph" w:styleId="Xl72" w:customStyle="1">
    <w:name w:val="xl72"/>
    <w:basedOn w:val="Normal"/>
    <w:qFormat/>
    <w:rsid w:val="00656bee"/>
    <w:pPr>
      <w:pBdr>
        <w:top w:val="single" w:sz="4" w:space="0" w:color="000000"/>
        <w:left w:val="single" w:sz="4" w:space="0" w:color="000000"/>
        <w:right w:val="single" w:sz="4" w:space="0" w:color="000000"/>
      </w:pBdr>
      <w:suppressAutoHyphens w:val="false"/>
      <w:spacing w:lineRule="auto" w:line="240" w:beforeAutospacing="1" w:afterAutospacing="1"/>
      <w:jc w:val="center"/>
      <w:textAlignment w:val="center"/>
    </w:pPr>
    <w:rPr>
      <w:rFonts w:ascii="Times New Roman" w:hAnsi="Times New Roman" w:eastAsia="Times New Roman" w:cs="Times New Roman"/>
      <w:b/>
      <w:bCs/>
      <w:sz w:val="24"/>
      <w:szCs w:val="24"/>
      <w:lang w:eastAsia="ru-RU"/>
    </w:rPr>
  </w:style>
  <w:style w:type="paragraph" w:styleId="Xl73" w:customStyle="1">
    <w:name w:val="xl73"/>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top"/>
    </w:pPr>
    <w:rPr>
      <w:rFonts w:ascii="Times New Roman" w:hAnsi="Times New Roman" w:eastAsia="Times New Roman" w:cs="Times New Roman"/>
      <w:sz w:val="24"/>
      <w:szCs w:val="24"/>
      <w:lang w:eastAsia="ru-RU"/>
    </w:rPr>
  </w:style>
  <w:style w:type="paragraph" w:styleId="Xl74" w:customStyle="1">
    <w:name w:val="xl74"/>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textAlignment w:val="top"/>
    </w:pPr>
    <w:rPr>
      <w:rFonts w:ascii="Times New Roman" w:hAnsi="Times New Roman" w:eastAsia="Times New Roman" w:cs="Times New Roman"/>
      <w:sz w:val="24"/>
      <w:szCs w:val="24"/>
      <w:lang w:eastAsia="ru-RU"/>
    </w:rPr>
  </w:style>
  <w:style w:type="paragraph" w:styleId="Xl75" w:customStyle="1">
    <w:name w:val="xl75"/>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top"/>
    </w:pPr>
    <w:rPr>
      <w:rFonts w:ascii="Times New Roman" w:hAnsi="Times New Roman" w:eastAsia="Times New Roman" w:cs="Times New Roman"/>
      <w:sz w:val="24"/>
      <w:szCs w:val="24"/>
      <w:lang w:eastAsia="ru-RU"/>
    </w:rPr>
  </w:style>
  <w:style w:type="paragraph" w:styleId="Xl76" w:customStyle="1">
    <w:name w:val="xl76"/>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center"/>
    </w:pPr>
    <w:rPr>
      <w:rFonts w:ascii="Times New Roman" w:hAnsi="Times New Roman" w:eastAsia="Times New Roman" w:cs="Times New Roman"/>
      <w:b/>
      <w:bCs/>
      <w:color w:val="000000"/>
      <w:sz w:val="24"/>
      <w:szCs w:val="24"/>
      <w:lang w:eastAsia="ru-RU"/>
    </w:rPr>
  </w:style>
  <w:style w:type="paragraph" w:styleId="Xl77" w:customStyle="1">
    <w:name w:val="xl77"/>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center"/>
    </w:pPr>
    <w:rPr>
      <w:rFonts w:ascii="Times New Roman" w:hAnsi="Times New Roman" w:eastAsia="Times New Roman" w:cs="Times New Roman"/>
      <w:b/>
      <w:bCs/>
      <w:sz w:val="24"/>
      <w:szCs w:val="24"/>
      <w:lang w:eastAsia="ru-RU"/>
    </w:rPr>
  </w:style>
  <w:style w:type="paragraph" w:styleId="Xl78" w:customStyle="1">
    <w:name w:val="xl78"/>
    <w:basedOn w:val="Normal"/>
    <w:qFormat/>
    <w:rsid w:val="00656bee"/>
    <w:pPr>
      <w:suppressAutoHyphens w:val="false"/>
      <w:spacing w:lineRule="auto" w:line="240" w:beforeAutospacing="1" w:afterAutospacing="1"/>
      <w:jc w:val="center"/>
      <w:textAlignment w:val="center"/>
    </w:pPr>
    <w:rPr>
      <w:rFonts w:ascii="Times New Roman" w:hAnsi="Times New Roman" w:eastAsia="Times New Roman" w:cs="Times New Roman"/>
      <w:b/>
      <w:bCs/>
      <w:sz w:val="24"/>
      <w:szCs w:val="24"/>
      <w:lang w:eastAsia="ru-RU"/>
    </w:rPr>
  </w:style>
  <w:style w:type="paragraph" w:styleId="Xl79" w:customStyle="1">
    <w:name w:val="xl79"/>
    <w:basedOn w:val="Normal"/>
    <w:qFormat/>
    <w:rsid w:val="00656bee"/>
    <w:pPr>
      <w:shd w:val="clear" w:color="FFFFCC" w:fill="FFFFFF"/>
      <w:suppressAutoHyphens w:val="false"/>
      <w:spacing w:lineRule="auto" w:line="240" w:beforeAutospacing="1" w:afterAutospacing="1"/>
    </w:pPr>
    <w:rPr>
      <w:rFonts w:ascii="Times New Roman" w:hAnsi="Times New Roman" w:eastAsia="Times New Roman" w:cs="Times New Roman"/>
      <w:sz w:val="24"/>
      <w:szCs w:val="24"/>
      <w:lang w:eastAsia="ru-RU"/>
    </w:rPr>
  </w:style>
  <w:style w:type="paragraph" w:styleId="Xl80" w:customStyle="1">
    <w:name w:val="xl80"/>
    <w:basedOn w:val="Normal"/>
    <w:qFormat/>
    <w:rsid w:val="00656bee"/>
    <w:pPr>
      <w:suppressAutoHyphens w:val="false"/>
      <w:spacing w:lineRule="auto" w:line="240" w:beforeAutospacing="1" w:afterAutospacing="1"/>
      <w:textAlignment w:val="center"/>
    </w:pPr>
    <w:rPr>
      <w:rFonts w:ascii="Times New Roman" w:hAnsi="Times New Roman" w:eastAsia="Times New Roman" w:cs="Times New Roman"/>
      <w:b/>
      <w:bCs/>
      <w:sz w:val="24"/>
      <w:szCs w:val="24"/>
      <w:lang w:eastAsia="ru-RU"/>
    </w:rPr>
  </w:style>
  <w:style w:type="paragraph" w:styleId="Xl81" w:customStyle="1">
    <w:name w:val="xl81"/>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top"/>
    </w:pPr>
    <w:rPr>
      <w:rFonts w:ascii="Times New Roman" w:hAnsi="Times New Roman" w:eastAsia="Times New Roman" w:cs="Times New Roman"/>
      <w:b/>
      <w:bCs/>
      <w:sz w:val="24"/>
      <w:szCs w:val="24"/>
      <w:lang w:eastAsia="ru-RU"/>
    </w:rPr>
  </w:style>
  <w:style w:type="paragraph" w:styleId="Xl82" w:customStyle="1">
    <w:name w:val="xl82"/>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top"/>
    </w:pPr>
    <w:rPr>
      <w:rFonts w:ascii="Times New Roman" w:hAnsi="Times New Roman" w:eastAsia="Times New Roman" w:cs="Times New Roman"/>
      <w:b/>
      <w:bCs/>
      <w:color w:val="000000"/>
      <w:sz w:val="24"/>
      <w:szCs w:val="24"/>
      <w:lang w:eastAsia="ru-RU"/>
    </w:rPr>
  </w:style>
  <w:style w:type="paragraph" w:styleId="Xl83" w:customStyle="1">
    <w:name w:val="xl83"/>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textAlignment w:val="center"/>
    </w:pPr>
    <w:rPr>
      <w:rFonts w:ascii="Times New Roman" w:hAnsi="Times New Roman" w:eastAsia="Times New Roman" w:cs="Times New Roman"/>
      <w:b/>
      <w:bCs/>
      <w:sz w:val="24"/>
      <w:szCs w:val="24"/>
      <w:lang w:eastAsia="ru-RU"/>
    </w:rPr>
  </w:style>
  <w:style w:type="paragraph" w:styleId="Xl84" w:customStyle="1">
    <w:name w:val="xl84"/>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textAlignment w:val="top"/>
    </w:pPr>
    <w:rPr>
      <w:rFonts w:ascii="Times New Roman" w:hAnsi="Times New Roman" w:eastAsia="Times New Roman" w:cs="Times New Roman"/>
      <w:b/>
      <w:bCs/>
      <w:color w:val="000000"/>
      <w:sz w:val="24"/>
      <w:szCs w:val="24"/>
      <w:lang w:eastAsia="ru-RU"/>
    </w:rPr>
  </w:style>
  <w:style w:type="paragraph" w:styleId="Xl85" w:customStyle="1">
    <w:name w:val="xl85"/>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center"/>
    </w:pPr>
    <w:rPr>
      <w:rFonts w:ascii="Times New Roman" w:hAnsi="Times New Roman" w:eastAsia="Times New Roman" w:cs="Times New Roman"/>
      <w:b/>
      <w:bCs/>
      <w:sz w:val="24"/>
      <w:szCs w:val="24"/>
      <w:lang w:eastAsia="ru-RU"/>
    </w:rPr>
  </w:style>
  <w:style w:type="paragraph" w:styleId="Xl86" w:customStyle="1">
    <w:name w:val="xl86"/>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center"/>
    </w:pPr>
    <w:rPr>
      <w:rFonts w:ascii="Times New Roman" w:hAnsi="Times New Roman" w:eastAsia="Times New Roman" w:cs="Times New Roman"/>
      <w:b/>
      <w:bCs/>
      <w:color w:val="000000"/>
      <w:sz w:val="24"/>
      <w:szCs w:val="24"/>
      <w:lang w:eastAsia="ru-RU"/>
    </w:rPr>
  </w:style>
  <w:style w:type="paragraph" w:styleId="Xl87" w:customStyle="1">
    <w:name w:val="xl87"/>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center"/>
    </w:pPr>
    <w:rPr>
      <w:rFonts w:ascii="Times New Roman" w:hAnsi="Times New Roman" w:eastAsia="Times New Roman" w:cs="Times New Roman"/>
      <w:b/>
      <w:bCs/>
      <w:color w:val="000000"/>
      <w:sz w:val="24"/>
      <w:szCs w:val="24"/>
      <w:lang w:eastAsia="ru-RU"/>
    </w:rPr>
  </w:style>
  <w:style w:type="paragraph" w:styleId="Xl88" w:customStyle="1">
    <w:name w:val="xl88"/>
    <w:basedOn w:val="Normal"/>
    <w:qFormat/>
    <w:rsid w:val="00656bee"/>
    <w:pPr>
      <w:pBdr>
        <w:top w:val="single" w:sz="4" w:space="0" w:color="000000"/>
        <w:left w:val="single" w:sz="4" w:space="0" w:color="000000"/>
        <w:bottom w:val="single" w:sz="4" w:space="0" w:color="000000"/>
      </w:pBdr>
      <w:suppressAutoHyphens w:val="false"/>
      <w:spacing w:lineRule="auto" w:line="240" w:beforeAutospacing="1" w:afterAutospacing="1"/>
      <w:jc w:val="center"/>
    </w:pPr>
    <w:rPr>
      <w:rFonts w:ascii="Times New Roman" w:hAnsi="Times New Roman" w:eastAsia="Times New Roman" w:cs="Times New Roman"/>
      <w:b/>
      <w:bCs/>
      <w:sz w:val="24"/>
      <w:szCs w:val="24"/>
      <w:lang w:eastAsia="ru-RU"/>
    </w:rPr>
  </w:style>
  <w:style w:type="paragraph" w:styleId="Xl89" w:customStyle="1">
    <w:name w:val="xl89"/>
    <w:basedOn w:val="Normal"/>
    <w:qFormat/>
    <w:rsid w:val="00656bee"/>
    <w:pPr>
      <w:pBdr>
        <w:top w:val="single" w:sz="4" w:space="0" w:color="000000"/>
        <w:left w:val="single" w:sz="4" w:space="0" w:color="000000"/>
        <w:bottom w:val="single" w:sz="4" w:space="0" w:color="000000"/>
      </w:pBdr>
      <w:suppressAutoHyphens w:val="false"/>
      <w:spacing w:lineRule="auto" w:line="240" w:beforeAutospacing="1" w:afterAutospacing="1"/>
      <w:jc w:val="center"/>
      <w:textAlignment w:val="center"/>
    </w:pPr>
    <w:rPr>
      <w:rFonts w:ascii="Times New Roman" w:hAnsi="Times New Roman" w:eastAsia="Times New Roman" w:cs="Times New Roman"/>
      <w:b/>
      <w:bCs/>
      <w:sz w:val="24"/>
      <w:szCs w:val="24"/>
      <w:lang w:eastAsia="ru-RU"/>
    </w:rPr>
  </w:style>
  <w:style w:type="paragraph" w:styleId="Xl90" w:customStyle="1">
    <w:name w:val="xl90"/>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textAlignment w:val="top"/>
    </w:pPr>
    <w:rPr>
      <w:rFonts w:ascii="Times New Roman" w:hAnsi="Times New Roman" w:eastAsia="Times New Roman" w:cs="Times New Roman"/>
      <w:b/>
      <w:bCs/>
      <w:sz w:val="24"/>
      <w:szCs w:val="24"/>
      <w:lang w:eastAsia="ru-RU"/>
    </w:rPr>
  </w:style>
  <w:style w:type="paragraph" w:styleId="Xl91" w:customStyle="1">
    <w:name w:val="xl91"/>
    <w:basedOn w:val="Normal"/>
    <w:qFormat/>
    <w:rsid w:val="00656bee"/>
    <w:pPr>
      <w:pBdr>
        <w:top w:val="single" w:sz="4" w:space="0" w:color="000000"/>
        <w:left w:val="single" w:sz="4" w:space="0" w:color="000000"/>
        <w:bottom w:val="single" w:sz="4" w:space="0" w:color="000000"/>
        <w:right w:val="single" w:sz="4" w:space="0" w:color="000000"/>
      </w:pBdr>
      <w:suppressAutoHyphens w:val="false"/>
      <w:spacing w:lineRule="auto" w:line="240" w:beforeAutospacing="1" w:afterAutospacing="1"/>
      <w:jc w:val="center"/>
    </w:pPr>
    <w:rPr>
      <w:rFonts w:ascii="Times New Roman" w:hAnsi="Times New Roman" w:eastAsia="Times New Roman" w:cs="Times New Roman"/>
      <w:b/>
      <w:bCs/>
      <w:sz w:val="24"/>
      <w:szCs w:val="24"/>
      <w:lang w:eastAsia="ru-RU"/>
    </w:rPr>
  </w:style>
  <w:style w:type="paragraph" w:styleId="Xl65" w:customStyle="1">
    <w:name w:val="xl65"/>
    <w:basedOn w:val="Normal"/>
    <w:qFormat/>
    <w:rsid w:val="00656bee"/>
    <w:pPr>
      <w:pBdr>
        <w:top w:val="single" w:sz="4" w:space="0" w:color="000000"/>
        <w:left w:val="single" w:sz="4" w:space="0" w:color="000000"/>
        <w:bottom w:val="single" w:sz="4" w:space="0" w:color="000000"/>
        <w:right w:val="single" w:sz="4" w:space="0" w:color="000000"/>
      </w:pBdr>
      <w:shd w:val="clear" w:color="FFFFCC" w:fill="FFFFFF"/>
      <w:suppressAutoHyphens w:val="false"/>
      <w:spacing w:lineRule="auto" w:line="240" w:beforeAutospacing="1" w:afterAutospacing="1"/>
      <w:jc w:val="center"/>
      <w:textAlignment w:val="center"/>
    </w:pPr>
    <w:rPr>
      <w:rFonts w:ascii="Times New Roman" w:hAnsi="Times New Roman" w:eastAsia="Times New Roman" w:cs="Times New Roman"/>
      <w:sz w:val="28"/>
      <w:szCs w:val="28"/>
      <w:lang w:eastAsia="ru-RU"/>
    </w:rPr>
  </w:style>
  <w:style w:type="paragraph" w:styleId="Xl92" w:customStyle="1">
    <w:name w:val="xl92"/>
    <w:basedOn w:val="Normal"/>
    <w:qFormat/>
    <w:rsid w:val="00656bee"/>
    <w:pPr>
      <w:pBdr>
        <w:top w:val="single" w:sz="4" w:space="0" w:color="000000"/>
        <w:left w:val="single" w:sz="4" w:space="0" w:color="000000"/>
        <w:bottom w:val="single" w:sz="4" w:space="0" w:color="000000"/>
        <w:right w:val="single" w:sz="4" w:space="0" w:color="000000"/>
      </w:pBdr>
      <w:shd w:val="clear" w:color="FFFFCC" w:fill="FFFFFF"/>
      <w:suppressAutoHyphens w:val="false"/>
      <w:spacing w:lineRule="auto" w:line="240" w:beforeAutospacing="1" w:afterAutospacing="1"/>
      <w:textAlignment w:val="top"/>
    </w:pPr>
    <w:rPr>
      <w:rFonts w:ascii="Times New Roman" w:hAnsi="Times New Roman" w:eastAsia="Times New Roman" w:cs="Times New Roman"/>
      <w:b/>
      <w:bCs/>
      <w:sz w:val="24"/>
      <w:szCs w:val="24"/>
      <w:lang w:eastAsia="ru-RU"/>
    </w:rPr>
  </w:style>
  <w:style w:type="numbering" w:styleId="NoList" w:default="1">
    <w:name w:val="No List"/>
    <w:uiPriority w:val="99"/>
    <w:semiHidden/>
    <w:unhideWhenUsed/>
    <w:qFormat/>
  </w:style>
  <w:style w:type="numbering" w:styleId="Style16"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E14C3-C9D3-4771-AE4C-CA296333A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Application>LibreOffice/7.6.7.2$Linux_X86_64 LibreOffice_project/60$Build-2</Application>
  <AppVersion>15.0000</AppVersion>
  <Pages>69</Pages>
  <Words>16252</Words>
  <Characters>107678</Characters>
  <CharactersWithSpaces>121135</CharactersWithSpaces>
  <Paragraphs>3445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2025-03-12T04:31:00Z</dcterms:created>
  <dc:creator>Beryazeva</dc:creator>
  <dc:description/>
  <dc:language>ru-RU</dc:language>
  <cp:lastModifiedBy/>
  <cp:lastPrinted>2026-04-03T10:45:50Z</cp:lastPrinted>
  <dcterms:modified xsi:type="dcterms:W3CDTF">2026-04-03T10:51:43Z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